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9D035">
      <w:pPr>
        <w:jc w:val="center"/>
        <w:rPr>
          <w:rFonts w:hint="eastAsia" w:ascii="黑体" w:hAnsi="黑体" w:eastAsia="黑体" w:cs="黑体"/>
          <w:b/>
          <w:bCs/>
          <w:sz w:val="32"/>
          <w:szCs w:val="32"/>
          <w:lang w:val="en-US" w:eastAsia="zh-CN"/>
        </w:rPr>
      </w:pPr>
    </w:p>
    <w:p w14:paraId="4648EC50">
      <w:pPr>
        <w:jc w:val="center"/>
        <w:rPr>
          <w:rFonts w:hint="eastAsia"/>
          <w:b/>
          <w:bCs/>
          <w:sz w:val="32"/>
          <w:szCs w:val="32"/>
        </w:rPr>
      </w:pPr>
    </w:p>
    <w:p w14:paraId="08F64647">
      <w:pPr>
        <w:jc w:val="center"/>
        <w:rPr>
          <w:rFonts w:hint="eastAsia"/>
          <w:b/>
          <w:bCs/>
          <w:sz w:val="32"/>
          <w:szCs w:val="32"/>
        </w:rPr>
      </w:pPr>
    </w:p>
    <w:p w14:paraId="1C54FC0D">
      <w:pPr>
        <w:jc w:val="center"/>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2025年-2026年 广西50%液碱服务(年度)项目</w:t>
      </w:r>
    </w:p>
    <w:p w14:paraId="7A9C71A8">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技术规格书</w:t>
      </w:r>
    </w:p>
    <w:p w14:paraId="20A856A5">
      <w:pPr>
        <w:jc w:val="center"/>
        <w:rPr>
          <w:rFonts w:hint="eastAsia"/>
          <w:b/>
          <w:bCs/>
          <w:sz w:val="32"/>
          <w:szCs w:val="32"/>
          <w:lang w:val="en-US" w:eastAsia="zh-CN"/>
        </w:rPr>
      </w:pPr>
    </w:p>
    <w:p w14:paraId="44154B7B">
      <w:pPr>
        <w:jc w:val="center"/>
        <w:rPr>
          <w:rFonts w:hint="eastAsia"/>
          <w:b/>
          <w:bCs/>
          <w:sz w:val="32"/>
          <w:szCs w:val="32"/>
          <w:lang w:val="en-US" w:eastAsia="zh-CN"/>
        </w:rPr>
      </w:pPr>
    </w:p>
    <w:p w14:paraId="3674C731">
      <w:pPr>
        <w:jc w:val="center"/>
        <w:rPr>
          <w:rFonts w:hint="eastAsia"/>
          <w:b/>
          <w:bCs/>
          <w:sz w:val="32"/>
          <w:szCs w:val="32"/>
          <w:lang w:val="en-US" w:eastAsia="zh-CN"/>
        </w:rPr>
      </w:pPr>
    </w:p>
    <w:p w14:paraId="6C1D254B">
      <w:pPr>
        <w:jc w:val="both"/>
        <w:rPr>
          <w:rFonts w:hint="eastAsia"/>
          <w:b/>
          <w:bCs/>
          <w:sz w:val="32"/>
          <w:szCs w:val="32"/>
          <w:lang w:val="en-US" w:eastAsia="zh-CN"/>
        </w:rPr>
      </w:pPr>
    </w:p>
    <w:p w14:paraId="375DB1DF">
      <w:pPr>
        <w:jc w:val="both"/>
        <w:rPr>
          <w:rFonts w:hint="eastAsia"/>
          <w:b/>
          <w:bCs/>
          <w:sz w:val="32"/>
          <w:szCs w:val="32"/>
          <w:lang w:val="en-US" w:eastAsia="zh-CN"/>
        </w:rPr>
      </w:pPr>
    </w:p>
    <w:p w14:paraId="6D4C2662">
      <w:pPr>
        <w:jc w:val="both"/>
        <w:rPr>
          <w:rFonts w:hint="eastAsia"/>
          <w:b/>
          <w:bCs/>
          <w:sz w:val="32"/>
          <w:szCs w:val="32"/>
          <w:lang w:val="en-US" w:eastAsia="zh-CN"/>
        </w:rPr>
      </w:pPr>
    </w:p>
    <w:p w14:paraId="0DC0E52F">
      <w:pPr>
        <w:jc w:val="both"/>
        <w:rPr>
          <w:rFonts w:hint="eastAsia"/>
          <w:b/>
          <w:bCs/>
          <w:sz w:val="32"/>
          <w:szCs w:val="32"/>
          <w:lang w:val="en-US" w:eastAsia="zh-CN"/>
        </w:rPr>
      </w:pPr>
    </w:p>
    <w:p w14:paraId="53A415E1">
      <w:pPr>
        <w:jc w:val="both"/>
        <w:rPr>
          <w:rFonts w:hint="eastAsia"/>
          <w:b/>
          <w:bCs/>
          <w:sz w:val="32"/>
          <w:szCs w:val="32"/>
          <w:lang w:val="en-US" w:eastAsia="zh-CN"/>
        </w:rPr>
      </w:pPr>
    </w:p>
    <w:p w14:paraId="5033C23D">
      <w:pPr>
        <w:jc w:val="both"/>
        <w:rPr>
          <w:rFonts w:hint="eastAsia"/>
          <w:b/>
          <w:bCs/>
          <w:sz w:val="32"/>
          <w:szCs w:val="32"/>
          <w:lang w:val="en-US" w:eastAsia="zh-CN"/>
        </w:rPr>
      </w:pPr>
    </w:p>
    <w:p w14:paraId="770C8EA7">
      <w:pPr>
        <w:jc w:val="both"/>
        <w:rPr>
          <w:rFonts w:hint="eastAsia"/>
          <w:b/>
          <w:bCs/>
          <w:sz w:val="32"/>
          <w:szCs w:val="32"/>
          <w:lang w:val="en-US" w:eastAsia="zh-CN"/>
        </w:rPr>
      </w:pPr>
    </w:p>
    <w:p w14:paraId="7E3993C7">
      <w:pPr>
        <w:jc w:val="both"/>
        <w:rPr>
          <w:rFonts w:hint="eastAsia"/>
          <w:b/>
          <w:bCs/>
          <w:sz w:val="32"/>
          <w:szCs w:val="32"/>
          <w:lang w:val="en-US" w:eastAsia="zh-CN"/>
        </w:rPr>
      </w:pPr>
    </w:p>
    <w:p w14:paraId="1A46E8BF">
      <w:pPr>
        <w:jc w:val="both"/>
        <w:rPr>
          <w:rFonts w:hint="eastAsia"/>
          <w:b/>
          <w:bCs/>
          <w:sz w:val="32"/>
          <w:szCs w:val="32"/>
          <w:lang w:val="en-US" w:eastAsia="zh-CN"/>
        </w:rPr>
      </w:pPr>
    </w:p>
    <w:p w14:paraId="5E2DE482">
      <w:pPr>
        <w:jc w:val="both"/>
        <w:rPr>
          <w:rFonts w:hint="eastAsia"/>
          <w:b/>
          <w:bCs/>
          <w:sz w:val="32"/>
          <w:szCs w:val="32"/>
          <w:lang w:val="en-US" w:eastAsia="zh-CN"/>
        </w:rPr>
      </w:pPr>
    </w:p>
    <w:p w14:paraId="439E847D">
      <w:pPr>
        <w:jc w:val="both"/>
        <w:rPr>
          <w:rFonts w:hint="eastAsia"/>
          <w:b/>
          <w:bCs/>
          <w:sz w:val="32"/>
          <w:szCs w:val="32"/>
          <w:lang w:val="en-US" w:eastAsia="zh-CN"/>
        </w:rPr>
      </w:pPr>
    </w:p>
    <w:p w14:paraId="31AA3AB8">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项目单位：福建省东南电化股份有限公司</w:t>
      </w:r>
    </w:p>
    <w:p w14:paraId="322054A5">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2025年  月  日</w:t>
      </w:r>
    </w:p>
    <w:p w14:paraId="7086F52E">
      <w:pPr>
        <w:numPr>
          <w:ilvl w:val="0"/>
          <w:numId w:val="0"/>
        </w:numPr>
        <w:spacing w:line="480" w:lineRule="auto"/>
        <w:ind w:left="0" w:leftChars="0" w:firstLine="0" w:firstLineChars="0"/>
        <w:jc w:val="both"/>
        <w:rPr>
          <w:rFonts w:hint="eastAsia"/>
          <w:b/>
          <w:bCs/>
          <w:sz w:val="24"/>
          <w:szCs w:val="24"/>
          <w:lang w:val="en-US" w:eastAsia="zh-CN"/>
        </w:rPr>
      </w:pPr>
    </w:p>
    <w:p w14:paraId="02BD2B54">
      <w:pPr>
        <w:numPr>
          <w:ilvl w:val="0"/>
          <w:numId w:val="0"/>
        </w:numPr>
        <w:spacing w:line="480" w:lineRule="auto"/>
        <w:ind w:left="0" w:leftChars="0" w:firstLine="0" w:firstLineChars="0"/>
        <w:jc w:val="both"/>
        <w:rPr>
          <w:rFonts w:hint="default"/>
          <w:b/>
          <w:bCs/>
          <w:sz w:val="24"/>
          <w:szCs w:val="24"/>
          <w:lang w:val="en-US" w:eastAsia="zh-CN"/>
        </w:rPr>
      </w:pPr>
      <w:bookmarkStart w:id="0" w:name="_GoBack"/>
      <w:bookmarkEnd w:id="0"/>
      <w:r>
        <w:rPr>
          <w:rFonts w:hint="eastAsia"/>
          <w:b/>
          <w:bCs/>
          <w:sz w:val="24"/>
          <w:szCs w:val="24"/>
          <w:lang w:val="en-US" w:eastAsia="zh-CN"/>
        </w:rPr>
        <w:t>目录</w:t>
      </w:r>
    </w:p>
    <w:p w14:paraId="0E9352CF">
      <w:pPr>
        <w:numPr>
          <w:ilvl w:val="0"/>
          <w:numId w:val="0"/>
        </w:numPr>
        <w:spacing w:line="480" w:lineRule="auto"/>
        <w:ind w:left="0" w:leftChars="0" w:firstLine="0" w:firstLineChars="0"/>
        <w:jc w:val="both"/>
        <w:rPr>
          <w:rFonts w:hint="default"/>
          <w:b/>
          <w:bCs/>
          <w:sz w:val="24"/>
          <w:szCs w:val="24"/>
          <w:lang w:val="en-US"/>
        </w:rPr>
      </w:pPr>
      <w:r>
        <w:rPr>
          <w:rFonts w:hint="eastAsia"/>
          <w:b/>
          <w:bCs/>
          <w:sz w:val="24"/>
          <w:szCs w:val="24"/>
          <w:lang w:val="en-US" w:eastAsia="zh-CN"/>
        </w:rPr>
        <w:t>1</w:t>
      </w:r>
      <w:r>
        <w:rPr>
          <w:rFonts w:hint="eastAsia" w:ascii="宋体" w:hAnsi="宋体" w:cs="宋体"/>
          <w:b/>
          <w:bCs/>
          <w:color w:val="auto"/>
          <w:sz w:val="24"/>
        </w:rPr>
        <w:t>、</w:t>
      </w:r>
      <w:r>
        <w:rPr>
          <w:rFonts w:hint="eastAsia" w:ascii="宋体" w:hAnsi="宋体" w:cs="宋体"/>
          <w:b/>
          <w:bCs/>
          <w:color w:val="auto"/>
          <w:sz w:val="24"/>
          <w:lang w:val="en-US" w:eastAsia="zh-CN"/>
        </w:rPr>
        <w:t>技术服务要求</w:t>
      </w:r>
    </w:p>
    <w:p w14:paraId="215AAF9D">
      <w:pPr>
        <w:numPr>
          <w:ilvl w:val="0"/>
          <w:numId w:val="0"/>
        </w:numPr>
        <w:spacing w:line="480" w:lineRule="auto"/>
        <w:ind w:left="0" w:leftChars="0" w:firstLine="0" w:firstLineChars="0"/>
        <w:jc w:val="both"/>
        <w:rPr>
          <w:rFonts w:hint="eastAsia" w:ascii="宋体" w:hAnsi="宋体" w:cs="宋体"/>
          <w:b/>
          <w:bCs/>
          <w:color w:val="auto"/>
          <w:sz w:val="24"/>
          <w:lang w:val="en-US" w:eastAsia="zh-CN"/>
        </w:rPr>
      </w:pPr>
      <w:r>
        <w:rPr>
          <w:rFonts w:hint="eastAsia" w:ascii="宋体" w:hAnsi="宋体" w:cs="宋体"/>
          <w:b/>
          <w:bCs/>
          <w:color w:val="auto"/>
          <w:sz w:val="24"/>
          <w:lang w:val="en-US" w:eastAsia="zh-CN"/>
        </w:rPr>
        <w:t>2、短驳运输技术规格要求</w:t>
      </w:r>
    </w:p>
    <w:p w14:paraId="3CE6D0E0">
      <w:pPr>
        <w:numPr>
          <w:ilvl w:val="0"/>
          <w:numId w:val="0"/>
        </w:numPr>
        <w:spacing w:line="480" w:lineRule="auto"/>
        <w:ind w:left="0" w:leftChars="0" w:firstLine="0" w:firstLineChars="0"/>
        <w:jc w:val="both"/>
        <w:rPr>
          <w:rFonts w:hint="eastAsia" w:ascii="宋体" w:hAnsi="宋体" w:cs="宋体"/>
          <w:b/>
          <w:bCs/>
          <w:color w:val="auto"/>
          <w:sz w:val="24"/>
          <w:lang w:val="en-US" w:eastAsia="zh-CN"/>
        </w:rPr>
      </w:pPr>
      <w:r>
        <w:rPr>
          <w:rFonts w:hint="eastAsia" w:ascii="宋体" w:hAnsi="宋体" w:cs="宋体"/>
          <w:b/>
          <w:bCs/>
          <w:color w:val="auto"/>
          <w:sz w:val="24"/>
          <w:lang w:val="en-US" w:eastAsia="zh-CN"/>
        </w:rPr>
        <w:t>3、储罐技术规格要求</w:t>
      </w:r>
    </w:p>
    <w:p w14:paraId="4D793E20">
      <w:pPr>
        <w:numPr>
          <w:ilvl w:val="0"/>
          <w:numId w:val="0"/>
        </w:numPr>
        <w:spacing w:line="480" w:lineRule="auto"/>
        <w:ind w:left="0" w:leftChars="0" w:firstLine="0" w:firstLineChars="0"/>
        <w:jc w:val="both"/>
        <w:rPr>
          <w:rFonts w:hint="eastAsia" w:ascii="宋体" w:hAnsi="宋体" w:cs="宋体"/>
          <w:b/>
          <w:bCs/>
          <w:color w:val="auto"/>
          <w:sz w:val="24"/>
          <w:lang w:val="en-US" w:eastAsia="zh-CN"/>
        </w:rPr>
      </w:pPr>
      <w:r>
        <w:rPr>
          <w:rFonts w:hint="eastAsia" w:ascii="宋体" w:hAnsi="宋体" w:cs="宋体"/>
          <w:b/>
          <w:bCs/>
          <w:color w:val="auto"/>
          <w:sz w:val="24"/>
          <w:lang w:val="en-US" w:eastAsia="zh-CN"/>
        </w:rPr>
        <w:t>4、验收和结算方式</w:t>
      </w:r>
    </w:p>
    <w:p w14:paraId="4BF80D0D">
      <w:pPr>
        <w:numPr>
          <w:ilvl w:val="0"/>
          <w:numId w:val="0"/>
        </w:numPr>
        <w:spacing w:line="480" w:lineRule="auto"/>
        <w:ind w:left="0" w:leftChars="0" w:firstLine="0" w:firstLineChars="0"/>
        <w:jc w:val="both"/>
        <w:rPr>
          <w:rFonts w:hint="default" w:ascii="宋体" w:hAnsi="宋体" w:cs="宋体"/>
          <w:b/>
          <w:bCs/>
          <w:color w:val="auto"/>
          <w:sz w:val="24"/>
          <w:lang w:val="en-US" w:eastAsia="zh-CN"/>
        </w:rPr>
      </w:pPr>
    </w:p>
    <w:p w14:paraId="0FEBF432"/>
    <w:p w14:paraId="58ACC01E"/>
    <w:p w14:paraId="7B7E9591"/>
    <w:p w14:paraId="78C31129"/>
    <w:p w14:paraId="574918B7"/>
    <w:p w14:paraId="63FAA399"/>
    <w:p w14:paraId="145999FB"/>
    <w:p w14:paraId="5EDCE0E9"/>
    <w:p w14:paraId="28078F38"/>
    <w:p w14:paraId="2DB342B8"/>
    <w:p w14:paraId="6E82120E"/>
    <w:p w14:paraId="0A13D8D4"/>
    <w:p w14:paraId="37F93C81"/>
    <w:p w14:paraId="29FB6533"/>
    <w:p w14:paraId="17D8D255"/>
    <w:p w14:paraId="7FF5ADAC"/>
    <w:p w14:paraId="12FE8C6C"/>
    <w:p w14:paraId="351394BA"/>
    <w:p w14:paraId="0CA98CF5"/>
    <w:p w14:paraId="0F5F6756"/>
    <w:p w14:paraId="4AAFBF1E"/>
    <w:p w14:paraId="039C332C"/>
    <w:p w14:paraId="2A6FB71C"/>
    <w:p w14:paraId="302DEF69"/>
    <w:p w14:paraId="12D27AB3"/>
    <w:p w14:paraId="29D5D4D9"/>
    <w:p w14:paraId="060E4720"/>
    <w:p w14:paraId="5448963D"/>
    <w:p w14:paraId="0DD48ECB"/>
    <w:p w14:paraId="2D602087"/>
    <w:p w14:paraId="382B1265"/>
    <w:p w14:paraId="1505270D"/>
    <w:p w14:paraId="3B7162B8">
      <w:pPr>
        <w:pStyle w:val="2"/>
        <w:keepNext w:val="0"/>
        <w:keepLines w:val="0"/>
        <w:pageBreakBefore w:val="0"/>
        <w:kinsoku/>
        <w:wordWrap/>
        <w:overflowPunct/>
        <w:topLinePunct w:val="0"/>
        <w:autoSpaceDE/>
        <w:autoSpaceDN/>
        <w:bidi w:val="0"/>
        <w:adjustRightInd/>
        <w:spacing w:before="2" w:line="360" w:lineRule="auto"/>
        <w:ind w:left="38"/>
        <w:textAlignment w:val="auto"/>
        <w:outlineLvl w:val="0"/>
        <w:rPr>
          <w:rFonts w:hint="eastAsia" w:cs="仿宋"/>
          <w:b/>
          <w:bCs/>
          <w:spacing w:val="-11"/>
          <w:kern w:val="2"/>
          <w:sz w:val="24"/>
          <w:szCs w:val="24"/>
          <w:lang w:val="en-US" w:eastAsia="zh-CN" w:bidi="ar-SA"/>
        </w:rPr>
      </w:pPr>
      <w:r>
        <w:rPr>
          <w:rFonts w:hint="eastAsia" w:cs="仿宋"/>
          <w:b/>
          <w:bCs/>
          <w:spacing w:val="-11"/>
          <w:kern w:val="2"/>
          <w:sz w:val="24"/>
          <w:szCs w:val="24"/>
          <w:lang w:val="en-US" w:eastAsia="zh-CN" w:bidi="ar-SA"/>
        </w:rPr>
        <w:t>1、技术服务要求</w:t>
      </w:r>
    </w:p>
    <w:p w14:paraId="16EC3ABE">
      <w:pPr>
        <w:tabs>
          <w:tab w:val="left" w:pos="6730"/>
        </w:tabs>
        <w:autoSpaceDE w:val="0"/>
        <w:autoSpaceDN w:val="0"/>
        <w:spacing w:line="400" w:lineRule="exact"/>
        <w:ind w:firstLine="392" w:firstLineChars="200"/>
        <w:jc w:val="left"/>
        <w:rPr>
          <w:rFonts w:hint="default" w:ascii="宋体" w:hAnsi="宋体" w:cs="宋体"/>
          <w:color w:val="000000"/>
          <w:spacing w:val="-7"/>
          <w:kern w:val="0"/>
          <w:szCs w:val="21"/>
          <w:highlight w:val="yellow"/>
          <w:lang w:val="en-US" w:eastAsia="zh-CN"/>
        </w:rPr>
      </w:pPr>
      <w:r>
        <w:rPr>
          <w:rFonts w:hint="default" w:ascii="宋体" w:hAnsi="宋体" w:cs="宋体"/>
          <w:color w:val="000000"/>
          <w:spacing w:val="-7"/>
          <w:kern w:val="0"/>
          <w:szCs w:val="21"/>
          <w:highlight w:val="yellow"/>
          <w:lang w:val="en-US" w:eastAsia="zh-CN"/>
        </w:rPr>
        <w:t>应为福建省东南电化</w:t>
      </w:r>
      <w:r>
        <w:rPr>
          <w:rFonts w:hint="eastAsia" w:ascii="宋体" w:hAnsi="宋体" w:cs="宋体"/>
          <w:color w:val="000000"/>
          <w:spacing w:val="-7"/>
          <w:kern w:val="0"/>
          <w:szCs w:val="21"/>
          <w:highlight w:val="yellow"/>
          <w:lang w:val="en-US" w:eastAsia="zh-CN"/>
        </w:rPr>
        <w:t>股份有限</w:t>
      </w:r>
      <w:r>
        <w:rPr>
          <w:rFonts w:hint="default" w:ascii="宋体" w:hAnsi="宋体" w:cs="宋体"/>
          <w:color w:val="000000"/>
          <w:spacing w:val="-7"/>
          <w:kern w:val="0"/>
          <w:szCs w:val="21"/>
          <w:highlight w:val="yellow"/>
          <w:lang w:val="en-US" w:eastAsia="zh-CN"/>
        </w:rPr>
        <w:t>公司提供50%液碱</w:t>
      </w:r>
      <w:r>
        <w:rPr>
          <w:rFonts w:ascii="宋体" w:hAnsi="宋体" w:cs="宋体"/>
          <w:color w:val="000000"/>
          <w:spacing w:val="-7"/>
          <w:kern w:val="0"/>
          <w:szCs w:val="21"/>
          <w:highlight w:val="yellow"/>
        </w:rPr>
        <w:t>符合条件的</w:t>
      </w:r>
      <w:r>
        <w:rPr>
          <w:rFonts w:hint="default" w:ascii="宋体" w:hAnsi="宋体" w:cs="宋体"/>
          <w:color w:val="000000"/>
          <w:spacing w:val="-7"/>
          <w:kern w:val="0"/>
          <w:szCs w:val="21"/>
          <w:highlight w:val="yellow"/>
          <w:lang w:val="en-US" w:eastAsia="zh-CN"/>
        </w:rPr>
        <w:t>当地储罐仓储、出入罐，汽运短驳及其它服务。</w:t>
      </w:r>
    </w:p>
    <w:p w14:paraId="453F6236">
      <w:pPr>
        <w:tabs>
          <w:tab w:val="left" w:pos="6730"/>
        </w:tabs>
        <w:autoSpaceDE w:val="0"/>
        <w:autoSpaceDN w:val="0"/>
        <w:spacing w:line="400" w:lineRule="exact"/>
        <w:ind w:firstLine="392" w:firstLineChars="200"/>
        <w:jc w:val="left"/>
        <w:rPr>
          <w:rFonts w:hint="default" w:ascii="宋体" w:hAnsi="宋体" w:cs="宋体"/>
          <w:color w:val="000000"/>
          <w:spacing w:val="-7"/>
          <w:kern w:val="0"/>
          <w:szCs w:val="21"/>
          <w:highlight w:val="yellow"/>
          <w:lang w:val="en-US" w:eastAsia="zh-CN"/>
        </w:rPr>
      </w:pPr>
      <w:r>
        <w:rPr>
          <w:rFonts w:hint="eastAsia" w:ascii="宋体" w:hAnsi="宋体" w:cs="宋体"/>
          <w:color w:val="000000"/>
          <w:spacing w:val="-7"/>
          <w:kern w:val="0"/>
          <w:szCs w:val="21"/>
          <w:highlight w:val="yellow"/>
          <w:lang w:val="en-US" w:eastAsia="zh-CN"/>
        </w:rPr>
        <w:t>包1</w:t>
      </w:r>
    </w:p>
    <w:tbl>
      <w:tblPr>
        <w:tblStyle w:val="3"/>
        <w:tblW w:w="7713"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35"/>
        <w:gridCol w:w="6078"/>
      </w:tblGrid>
      <w:tr w14:paraId="2D6A4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1635" w:type="dxa"/>
            <w:vMerge w:val="restart"/>
            <w:tcBorders>
              <w:top w:val="single" w:color="000000" w:sz="4" w:space="0"/>
              <w:left w:val="single" w:color="000000" w:sz="4" w:space="0"/>
              <w:bottom w:val="single" w:color="000000" w:sz="4" w:space="0"/>
              <w:right w:val="single" w:color="000000" w:sz="4" w:space="0"/>
            </w:tcBorders>
            <w:noWrap w:val="0"/>
            <w:vAlign w:val="center"/>
          </w:tcPr>
          <w:p w14:paraId="4F1681FC">
            <w:pPr>
              <w:keepNext w:val="0"/>
              <w:keepLines w:val="0"/>
              <w:widowControl/>
              <w:suppressLineNumbers w:val="0"/>
              <w:jc w:val="center"/>
              <w:textAlignment w:val="center"/>
              <w:rPr>
                <w:rFonts w:hint="eastAsia" w:ascii="宋体" w:hAnsi="宋体" w:eastAsia="宋体" w:cs="宋体"/>
                <w:spacing w:val="-2"/>
                <w:kern w:val="2"/>
                <w:sz w:val="21"/>
                <w:szCs w:val="21"/>
                <w:lang w:val="en-US" w:eastAsia="zh-CN" w:bidi="ar-SA"/>
              </w:rPr>
            </w:pPr>
            <w:r>
              <w:rPr>
                <w:rFonts w:hint="eastAsia" w:ascii="宋体" w:hAnsi="宋体" w:eastAsia="宋体" w:cs="宋体"/>
                <w:spacing w:val="-2"/>
                <w:kern w:val="2"/>
                <w:sz w:val="21"/>
                <w:szCs w:val="21"/>
                <w:lang w:val="en-US" w:eastAsia="zh-CN" w:bidi="ar-SA"/>
              </w:rPr>
              <w:t>具体服务项目</w:t>
            </w:r>
          </w:p>
        </w:tc>
        <w:tc>
          <w:tcPr>
            <w:tcW w:w="6078" w:type="dxa"/>
            <w:tcBorders>
              <w:top w:val="single" w:color="000000" w:sz="4" w:space="0"/>
              <w:left w:val="single" w:color="000000" w:sz="4" w:space="0"/>
              <w:bottom w:val="single" w:color="000000" w:sz="4" w:space="0"/>
              <w:right w:val="single" w:color="000000" w:sz="4" w:space="0"/>
            </w:tcBorders>
            <w:noWrap/>
            <w:vAlign w:val="center"/>
          </w:tcPr>
          <w:p w14:paraId="72C29789">
            <w:pPr>
              <w:keepNext w:val="0"/>
              <w:keepLines w:val="0"/>
              <w:widowControl/>
              <w:suppressLineNumbers w:val="0"/>
              <w:jc w:val="center"/>
              <w:textAlignment w:val="center"/>
              <w:rPr>
                <w:rFonts w:hint="eastAsia" w:ascii="宋体" w:hAnsi="宋体" w:eastAsia="宋体" w:cs="宋体"/>
                <w:spacing w:val="-2"/>
                <w:kern w:val="2"/>
                <w:sz w:val="21"/>
                <w:szCs w:val="21"/>
                <w:lang w:val="en-US" w:eastAsia="zh-CN" w:bidi="ar-SA"/>
              </w:rPr>
            </w:pPr>
            <w:r>
              <w:rPr>
                <w:rFonts w:hint="eastAsia" w:ascii="仿宋" w:hAnsi="仿宋" w:eastAsia="仿宋" w:cs="仿宋"/>
                <w:spacing w:val="-2"/>
                <w:kern w:val="2"/>
                <w:sz w:val="24"/>
                <w:szCs w:val="24"/>
                <w:lang w:val="en-US" w:eastAsia="zh-CN" w:bidi="ar-SA"/>
              </w:rPr>
              <w:t>汽运短驳服务（指定储罐-</w:t>
            </w:r>
            <w:r>
              <w:rPr>
                <w:rFonts w:hint="eastAsia" w:ascii="仿宋" w:hAnsi="仿宋" w:eastAsia="仿宋" w:cs="仿宋"/>
                <w:spacing w:val="-2"/>
                <w:kern w:val="2"/>
                <w:sz w:val="24"/>
                <w:szCs w:val="24"/>
                <w:highlight w:val="yellow"/>
                <w:lang w:val="en-US" w:eastAsia="zh-CN" w:bidi="ar-SA"/>
              </w:rPr>
              <w:t>广西华昇</w:t>
            </w:r>
            <w:r>
              <w:rPr>
                <w:rFonts w:hint="eastAsia" w:ascii="仿宋" w:hAnsi="仿宋" w:eastAsia="仿宋" w:cs="仿宋"/>
                <w:spacing w:val="-2"/>
                <w:kern w:val="2"/>
                <w:sz w:val="24"/>
                <w:szCs w:val="24"/>
                <w:lang w:val="en-US" w:eastAsia="zh-CN" w:bidi="ar-SA"/>
              </w:rPr>
              <w:t>指定仓库）</w:t>
            </w:r>
          </w:p>
        </w:tc>
      </w:tr>
      <w:tr w14:paraId="51EEA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63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EE251D">
            <w:pPr>
              <w:jc w:val="center"/>
              <w:rPr>
                <w:rFonts w:hint="eastAsia" w:ascii="宋体" w:hAnsi="宋体" w:eastAsia="宋体" w:cs="宋体"/>
                <w:spacing w:val="-2"/>
                <w:kern w:val="2"/>
                <w:sz w:val="21"/>
                <w:szCs w:val="21"/>
                <w:lang w:val="en-US" w:eastAsia="zh-CN" w:bidi="ar-SA"/>
              </w:rPr>
            </w:pPr>
          </w:p>
        </w:tc>
        <w:tc>
          <w:tcPr>
            <w:tcW w:w="6078" w:type="dxa"/>
            <w:tcBorders>
              <w:top w:val="single" w:color="000000" w:sz="4" w:space="0"/>
              <w:left w:val="single" w:color="000000" w:sz="4" w:space="0"/>
              <w:bottom w:val="single" w:color="000000" w:sz="4" w:space="0"/>
              <w:right w:val="single" w:color="000000" w:sz="4" w:space="0"/>
            </w:tcBorders>
            <w:noWrap w:val="0"/>
            <w:vAlign w:val="center"/>
          </w:tcPr>
          <w:p w14:paraId="57CB7426">
            <w:pPr>
              <w:keepNext w:val="0"/>
              <w:keepLines w:val="0"/>
              <w:widowControl/>
              <w:suppressLineNumbers w:val="0"/>
              <w:jc w:val="center"/>
              <w:textAlignment w:val="center"/>
              <w:rPr>
                <w:rFonts w:hint="default" w:ascii="宋体" w:hAnsi="宋体" w:eastAsia="宋体" w:cs="宋体"/>
                <w:spacing w:val="-2"/>
                <w:kern w:val="2"/>
                <w:sz w:val="21"/>
                <w:szCs w:val="21"/>
                <w:lang w:val="en-US" w:eastAsia="zh-CN" w:bidi="ar-SA"/>
              </w:rPr>
            </w:pPr>
            <w:r>
              <w:rPr>
                <w:rFonts w:hint="eastAsia" w:ascii="仿宋" w:hAnsi="仿宋" w:eastAsia="仿宋" w:cs="仿宋"/>
                <w:spacing w:val="-2"/>
                <w:kern w:val="2"/>
                <w:sz w:val="24"/>
                <w:szCs w:val="24"/>
                <w:lang w:val="en-US" w:eastAsia="zh-CN" w:bidi="ar-SA"/>
              </w:rPr>
              <w:t>当地储罐仓储、港务费、装卸费等其他服务</w:t>
            </w:r>
          </w:p>
        </w:tc>
      </w:tr>
    </w:tbl>
    <w:p w14:paraId="73B61759">
      <w:pPr>
        <w:tabs>
          <w:tab w:val="left" w:pos="6730"/>
        </w:tabs>
        <w:autoSpaceDE w:val="0"/>
        <w:autoSpaceDN w:val="0"/>
        <w:spacing w:line="400" w:lineRule="exact"/>
        <w:ind w:firstLine="392" w:firstLineChars="200"/>
        <w:jc w:val="left"/>
        <w:rPr>
          <w:rFonts w:hint="eastAsia" w:ascii="宋体" w:hAnsi="宋体" w:cs="宋体"/>
          <w:color w:val="000000"/>
          <w:spacing w:val="-7"/>
          <w:kern w:val="0"/>
          <w:szCs w:val="21"/>
          <w:highlight w:val="yellow"/>
          <w:lang w:val="en-US" w:eastAsia="zh-CN"/>
        </w:rPr>
      </w:pPr>
      <w:r>
        <w:rPr>
          <w:rFonts w:hint="eastAsia" w:ascii="宋体" w:hAnsi="宋体" w:cs="宋体"/>
          <w:color w:val="000000"/>
          <w:spacing w:val="-7"/>
          <w:kern w:val="0"/>
          <w:szCs w:val="21"/>
          <w:highlight w:val="yellow"/>
          <w:lang w:val="en-US" w:eastAsia="zh-CN"/>
        </w:rPr>
        <w:t>包2</w:t>
      </w:r>
    </w:p>
    <w:tbl>
      <w:tblPr>
        <w:tblStyle w:val="3"/>
        <w:tblW w:w="766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35"/>
        <w:gridCol w:w="6026"/>
      </w:tblGrid>
      <w:tr w14:paraId="0D5E7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635" w:type="dxa"/>
            <w:vMerge w:val="restart"/>
            <w:tcBorders>
              <w:top w:val="single" w:color="000000" w:sz="4" w:space="0"/>
              <w:left w:val="single" w:color="000000" w:sz="4" w:space="0"/>
              <w:bottom w:val="single" w:color="000000" w:sz="4" w:space="0"/>
              <w:right w:val="single" w:color="000000" w:sz="4" w:space="0"/>
            </w:tcBorders>
            <w:noWrap w:val="0"/>
            <w:vAlign w:val="center"/>
          </w:tcPr>
          <w:p w14:paraId="74FD6B93">
            <w:pPr>
              <w:keepNext w:val="0"/>
              <w:keepLines w:val="0"/>
              <w:widowControl/>
              <w:suppressLineNumbers w:val="0"/>
              <w:jc w:val="center"/>
              <w:textAlignment w:val="center"/>
              <w:rPr>
                <w:rFonts w:hint="eastAsia" w:ascii="宋体" w:hAnsi="宋体" w:eastAsia="宋体" w:cs="宋体"/>
                <w:spacing w:val="-2"/>
                <w:kern w:val="2"/>
                <w:sz w:val="21"/>
                <w:szCs w:val="21"/>
                <w:lang w:val="en-US" w:eastAsia="zh-CN" w:bidi="ar-SA"/>
              </w:rPr>
            </w:pPr>
            <w:r>
              <w:rPr>
                <w:rFonts w:hint="eastAsia" w:ascii="宋体" w:hAnsi="宋体" w:eastAsia="宋体" w:cs="宋体"/>
                <w:spacing w:val="-2"/>
                <w:kern w:val="2"/>
                <w:sz w:val="21"/>
                <w:szCs w:val="21"/>
                <w:lang w:val="en-US" w:eastAsia="zh-CN" w:bidi="ar-SA"/>
              </w:rPr>
              <w:t>具体服务项目</w:t>
            </w:r>
          </w:p>
        </w:tc>
        <w:tc>
          <w:tcPr>
            <w:tcW w:w="6026" w:type="dxa"/>
            <w:tcBorders>
              <w:top w:val="single" w:color="000000" w:sz="4" w:space="0"/>
              <w:left w:val="single" w:color="000000" w:sz="4" w:space="0"/>
              <w:bottom w:val="single" w:color="000000" w:sz="4" w:space="0"/>
              <w:right w:val="single" w:color="000000" w:sz="4" w:space="0"/>
            </w:tcBorders>
            <w:noWrap/>
            <w:vAlign w:val="center"/>
          </w:tcPr>
          <w:p w14:paraId="26661EAE">
            <w:pPr>
              <w:keepNext w:val="0"/>
              <w:keepLines w:val="0"/>
              <w:widowControl/>
              <w:suppressLineNumbers w:val="0"/>
              <w:jc w:val="center"/>
              <w:textAlignment w:val="center"/>
              <w:rPr>
                <w:rFonts w:hint="eastAsia" w:ascii="宋体" w:hAnsi="宋体" w:eastAsia="宋体" w:cs="宋体"/>
                <w:spacing w:val="-2"/>
                <w:kern w:val="2"/>
                <w:sz w:val="21"/>
                <w:szCs w:val="21"/>
                <w:lang w:val="en-US" w:eastAsia="zh-CN" w:bidi="ar-SA"/>
              </w:rPr>
            </w:pPr>
            <w:r>
              <w:rPr>
                <w:rFonts w:hint="eastAsia" w:ascii="仿宋" w:hAnsi="仿宋" w:eastAsia="仿宋" w:cs="仿宋"/>
                <w:spacing w:val="-2"/>
                <w:kern w:val="2"/>
                <w:sz w:val="24"/>
                <w:szCs w:val="24"/>
                <w:lang w:val="en-US" w:eastAsia="zh-CN" w:bidi="ar-SA"/>
              </w:rPr>
              <w:t>汽运短驳服务（指定储罐-</w:t>
            </w:r>
            <w:r>
              <w:rPr>
                <w:rFonts w:hint="eastAsia" w:ascii="仿宋" w:hAnsi="仿宋" w:eastAsia="仿宋" w:cs="仿宋"/>
                <w:spacing w:val="-2"/>
                <w:kern w:val="2"/>
                <w:sz w:val="24"/>
                <w:szCs w:val="24"/>
                <w:highlight w:val="yellow"/>
                <w:lang w:val="en-US" w:eastAsia="zh-CN" w:bidi="ar-SA"/>
              </w:rPr>
              <w:t>广西广投</w:t>
            </w:r>
            <w:r>
              <w:rPr>
                <w:rFonts w:hint="eastAsia" w:ascii="仿宋" w:hAnsi="仿宋" w:eastAsia="仿宋" w:cs="仿宋"/>
                <w:spacing w:val="-2"/>
                <w:kern w:val="2"/>
                <w:sz w:val="24"/>
                <w:szCs w:val="24"/>
                <w:lang w:val="en-US" w:eastAsia="zh-CN" w:bidi="ar-SA"/>
              </w:rPr>
              <w:t>指定仓库）</w:t>
            </w:r>
          </w:p>
        </w:tc>
      </w:tr>
      <w:tr w14:paraId="7F5F9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163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DE84B3">
            <w:pPr>
              <w:jc w:val="center"/>
              <w:rPr>
                <w:rFonts w:hint="eastAsia" w:ascii="宋体" w:hAnsi="宋体" w:eastAsia="宋体" w:cs="宋体"/>
                <w:spacing w:val="-2"/>
                <w:kern w:val="2"/>
                <w:sz w:val="21"/>
                <w:szCs w:val="21"/>
                <w:lang w:val="en-US" w:eastAsia="zh-CN" w:bidi="ar-SA"/>
              </w:rPr>
            </w:pPr>
          </w:p>
        </w:tc>
        <w:tc>
          <w:tcPr>
            <w:tcW w:w="6026" w:type="dxa"/>
            <w:tcBorders>
              <w:top w:val="single" w:color="000000" w:sz="4" w:space="0"/>
              <w:left w:val="single" w:color="000000" w:sz="4" w:space="0"/>
              <w:bottom w:val="single" w:color="000000" w:sz="4" w:space="0"/>
              <w:right w:val="single" w:color="000000" w:sz="4" w:space="0"/>
            </w:tcBorders>
            <w:noWrap w:val="0"/>
            <w:vAlign w:val="center"/>
          </w:tcPr>
          <w:p w14:paraId="344F3FB1">
            <w:pPr>
              <w:keepNext w:val="0"/>
              <w:keepLines w:val="0"/>
              <w:widowControl/>
              <w:suppressLineNumbers w:val="0"/>
              <w:jc w:val="center"/>
              <w:textAlignment w:val="center"/>
              <w:rPr>
                <w:rFonts w:hint="eastAsia" w:ascii="宋体" w:hAnsi="宋体" w:eastAsia="宋体" w:cs="宋体"/>
                <w:spacing w:val="-2"/>
                <w:kern w:val="2"/>
                <w:sz w:val="21"/>
                <w:szCs w:val="21"/>
                <w:lang w:val="en-US" w:eastAsia="zh-CN" w:bidi="ar-SA"/>
              </w:rPr>
            </w:pPr>
            <w:r>
              <w:rPr>
                <w:rFonts w:hint="eastAsia" w:ascii="仿宋" w:hAnsi="仿宋" w:eastAsia="仿宋" w:cs="仿宋"/>
                <w:spacing w:val="-2"/>
                <w:kern w:val="2"/>
                <w:sz w:val="24"/>
                <w:szCs w:val="24"/>
                <w:lang w:val="en-US" w:eastAsia="zh-CN" w:bidi="ar-SA"/>
              </w:rPr>
              <w:t>当地储罐仓储、港务费、装卸费等其他服务</w:t>
            </w:r>
          </w:p>
        </w:tc>
      </w:tr>
    </w:tbl>
    <w:p w14:paraId="4DC4A28F">
      <w:pPr>
        <w:tabs>
          <w:tab w:val="left" w:pos="6730"/>
        </w:tabs>
        <w:autoSpaceDE w:val="0"/>
        <w:autoSpaceDN w:val="0"/>
        <w:spacing w:line="400" w:lineRule="exact"/>
        <w:jc w:val="left"/>
        <w:rPr>
          <w:rFonts w:hint="default" w:ascii="宋体" w:hAnsi="宋体" w:cs="宋体"/>
          <w:color w:val="000000"/>
          <w:spacing w:val="-7"/>
          <w:kern w:val="0"/>
          <w:szCs w:val="21"/>
          <w:highlight w:val="yellow"/>
          <w:lang w:val="en-US" w:eastAsia="zh-CN"/>
        </w:rPr>
      </w:pPr>
    </w:p>
    <w:p w14:paraId="5FD64167">
      <w:pPr>
        <w:pStyle w:val="2"/>
        <w:keepNext w:val="0"/>
        <w:keepLines w:val="0"/>
        <w:pageBreakBefore w:val="0"/>
        <w:kinsoku/>
        <w:wordWrap/>
        <w:overflowPunct/>
        <w:topLinePunct w:val="0"/>
        <w:autoSpaceDE/>
        <w:autoSpaceDN/>
        <w:bidi w:val="0"/>
        <w:adjustRightInd/>
        <w:spacing w:before="2" w:line="360" w:lineRule="auto"/>
        <w:ind w:left="38"/>
        <w:textAlignment w:val="auto"/>
        <w:outlineLvl w:val="0"/>
        <w:rPr>
          <w:rFonts w:hint="default" w:cs="仿宋"/>
          <w:b/>
          <w:bCs/>
          <w:spacing w:val="-11"/>
          <w:kern w:val="2"/>
          <w:sz w:val="24"/>
          <w:szCs w:val="24"/>
          <w:lang w:val="en-US" w:eastAsia="zh-CN" w:bidi="ar-SA"/>
        </w:rPr>
      </w:pPr>
      <w:r>
        <w:rPr>
          <w:rFonts w:hint="eastAsia" w:cs="仿宋"/>
          <w:b/>
          <w:bCs/>
          <w:spacing w:val="-11"/>
          <w:kern w:val="2"/>
          <w:sz w:val="24"/>
          <w:szCs w:val="24"/>
          <w:lang w:val="en-US" w:eastAsia="zh-CN" w:bidi="ar-SA"/>
        </w:rPr>
        <w:t>2、</w:t>
      </w:r>
      <w:r>
        <w:rPr>
          <w:rFonts w:hint="eastAsia" w:ascii="宋体" w:hAnsi="宋体" w:cs="宋体"/>
          <w:b/>
          <w:bCs/>
          <w:color w:val="auto"/>
          <w:sz w:val="24"/>
          <w:lang w:val="en-US" w:eastAsia="zh-CN"/>
        </w:rPr>
        <w:t>短驳</w:t>
      </w:r>
      <w:r>
        <w:rPr>
          <w:rFonts w:hint="eastAsia" w:cs="仿宋"/>
          <w:b/>
          <w:bCs/>
          <w:spacing w:val="-11"/>
          <w:kern w:val="2"/>
          <w:sz w:val="24"/>
          <w:szCs w:val="24"/>
          <w:lang w:val="en-US" w:eastAsia="zh-CN" w:bidi="ar-SA"/>
        </w:rPr>
        <w:t>运输技术规格要求</w:t>
      </w:r>
    </w:p>
    <w:p w14:paraId="0B7210E3">
      <w:pPr>
        <w:keepNext w:val="0"/>
        <w:keepLines w:val="0"/>
        <w:pageBreakBefore w:val="0"/>
        <w:widowControl w:val="0"/>
        <w:tabs>
          <w:tab w:val="left" w:pos="739"/>
        </w:tabs>
        <w:kinsoku/>
        <w:wordWrap/>
        <w:overflowPunct/>
        <w:topLinePunct w:val="0"/>
        <w:autoSpaceDE/>
        <w:autoSpaceDN/>
        <w:bidi w:val="0"/>
        <w:adjustRightInd/>
        <w:snapToGrid/>
        <w:spacing w:line="360" w:lineRule="auto"/>
        <w:ind w:firstLine="472" w:firstLineChars="200"/>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2.1道路运输经营许可证须满足8类运输资质。离子膜碱车辆要求碳钢或不锈钢槽罐车。所有的罐要求专用，不允许混装。如有混装引发的问题或损失由投标方承担。</w:t>
      </w:r>
    </w:p>
    <w:p w14:paraId="6EBE013F">
      <w:pPr>
        <w:keepNext w:val="0"/>
        <w:keepLines w:val="0"/>
        <w:pageBreakBefore w:val="0"/>
        <w:widowControl w:val="0"/>
        <w:tabs>
          <w:tab w:val="left" w:pos="739"/>
        </w:tabs>
        <w:kinsoku/>
        <w:wordWrap/>
        <w:overflowPunct/>
        <w:topLinePunct w:val="0"/>
        <w:autoSpaceDE/>
        <w:autoSpaceDN/>
        <w:bidi w:val="0"/>
        <w:adjustRightInd/>
        <w:snapToGrid/>
        <w:spacing w:line="360" w:lineRule="auto"/>
        <w:ind w:firstLine="472" w:firstLineChars="200"/>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乙方所签约承运商的承运车辆、槽罐必须由专业生产企业生产、按期检测、维护，并经检测、检验合格后，方可投用。承运车辆必须自有，不允许外部挂靠车辆，车辆使用年限6年以内，且符合国家危险品运输标准。</w:t>
      </w:r>
    </w:p>
    <w:p w14:paraId="7B31208D">
      <w:pPr>
        <w:keepNext w:val="0"/>
        <w:keepLines w:val="0"/>
        <w:pageBreakBefore w:val="0"/>
        <w:widowControl w:val="0"/>
        <w:tabs>
          <w:tab w:val="left" w:pos="739"/>
        </w:tabs>
        <w:kinsoku/>
        <w:wordWrap/>
        <w:overflowPunct/>
        <w:topLinePunct w:val="0"/>
        <w:autoSpaceDE/>
        <w:autoSpaceDN/>
        <w:bidi w:val="0"/>
        <w:adjustRightInd/>
        <w:snapToGrid/>
        <w:spacing w:line="360" w:lineRule="auto"/>
        <w:ind w:firstLine="472" w:firstLineChars="200"/>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承运商司机及押运员年龄必须小于55周岁，必须具备承运液碱合法营运资格，必须有齐备的国家政府部门核发的有效证件及牌照，符合东南电化公司承运商准入、HSE 等相关要求。承运商承运的液碱属于危险化学品的，应当取得危险液碱道路运输许可、运输车辆取得营运证以及驾驶人员、押运人员等相关人员取得上岗资格的证明，办理相关运输所需的备案证明材料。</w:t>
      </w:r>
    </w:p>
    <w:p w14:paraId="588F3D1D">
      <w:pPr>
        <w:keepNext w:val="0"/>
        <w:keepLines w:val="0"/>
        <w:pageBreakBefore w:val="0"/>
        <w:widowControl w:val="0"/>
        <w:tabs>
          <w:tab w:val="left" w:pos="739"/>
        </w:tabs>
        <w:kinsoku/>
        <w:wordWrap/>
        <w:overflowPunct/>
        <w:topLinePunct w:val="0"/>
        <w:autoSpaceDE/>
        <w:autoSpaceDN/>
        <w:bidi w:val="0"/>
        <w:adjustRightInd/>
        <w:snapToGrid/>
        <w:spacing w:line="360" w:lineRule="auto"/>
        <w:ind w:firstLine="472" w:firstLineChars="200"/>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承运商应对其驾驶员、押运员等相关人员进行安全教育，使其熟知所运液碱的理化性质、危险特性、运输防护信息、紧急情况下应采取的措施，并能熟练应用。</w:t>
      </w:r>
    </w:p>
    <w:p w14:paraId="1DE12ED2">
      <w:pPr>
        <w:keepNext w:val="0"/>
        <w:keepLines w:val="0"/>
        <w:pageBreakBefore w:val="0"/>
        <w:widowControl w:val="0"/>
        <w:tabs>
          <w:tab w:val="left" w:pos="739"/>
        </w:tabs>
        <w:kinsoku/>
        <w:wordWrap/>
        <w:overflowPunct/>
        <w:topLinePunct w:val="0"/>
        <w:autoSpaceDE/>
        <w:autoSpaceDN/>
        <w:bidi w:val="0"/>
        <w:adjustRightInd/>
        <w:snapToGrid/>
        <w:spacing w:line="360" w:lineRule="auto"/>
        <w:ind w:firstLine="472" w:firstLineChars="200"/>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承运商要执行终端客户管理要求，若受到终端客户罚款等由投标方自行承担；引起甲方名誉受损，甲方有权要求投标方赔偿损失。</w:t>
      </w:r>
    </w:p>
    <w:p w14:paraId="695515A4">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2.2包装标准、包装物的提供与回收</w:t>
      </w:r>
    </w:p>
    <w:p w14:paraId="69E04BD9">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ascii="Times New Roman" w:hAnsi="Times New Roman"/>
          <w:color w:val="000000"/>
          <w:szCs w:val="21"/>
        </w:rPr>
      </w:pPr>
      <w:r>
        <w:rPr>
          <w:rFonts w:hint="eastAsia" w:ascii="仿宋" w:hAnsi="仿宋" w:eastAsia="仿宋" w:cs="仿宋"/>
          <w:spacing w:val="-2"/>
          <w:kern w:val="2"/>
          <w:sz w:val="24"/>
          <w:szCs w:val="24"/>
          <w:lang w:val="en-US" w:eastAsia="zh-CN" w:bidi="ar-SA"/>
        </w:rPr>
        <w:t>汽运罐车散装。随车必备卸车用必要附件和工具。确保运输车辆自出厂之时在罐车进碱</w:t>
      </w:r>
      <w:r>
        <w:rPr>
          <w:rFonts w:hint="eastAsia" w:ascii="Times New Roman" w:hAnsi="Times New Roman"/>
          <w:color w:val="000000"/>
          <w:szCs w:val="21"/>
        </w:rPr>
        <w:t>口处加装铅封。</w:t>
      </w:r>
    </w:p>
    <w:p w14:paraId="7BF97F7D">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2.3运输方式</w:t>
      </w:r>
    </w:p>
    <w:p w14:paraId="24B6D6B5">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汽车运输：由乙方负责运至</w:t>
      </w:r>
      <w:r>
        <w:rPr>
          <w:rFonts w:hint="eastAsia" w:ascii="仿宋" w:hAnsi="仿宋" w:eastAsia="仿宋" w:cs="仿宋"/>
          <w:spacing w:val="-2"/>
          <w:kern w:val="2"/>
          <w:sz w:val="24"/>
          <w:szCs w:val="24"/>
          <w:highlight w:val="none"/>
          <w:lang w:val="en-US" w:eastAsia="zh-CN" w:bidi="ar-SA"/>
        </w:rPr>
        <w:t>甲方</w:t>
      </w:r>
      <w:r>
        <w:rPr>
          <w:rFonts w:hint="eastAsia" w:ascii="仿宋" w:hAnsi="仿宋" w:eastAsia="仿宋" w:cs="仿宋"/>
          <w:spacing w:val="-2"/>
          <w:kern w:val="2"/>
          <w:sz w:val="24"/>
          <w:szCs w:val="24"/>
          <w:lang w:val="en-US" w:eastAsia="zh-CN" w:bidi="ar-SA"/>
        </w:rPr>
        <w:t>指定仓库，乙方物流负责人在发货后应及时将车号、毛重、液碱净重数量以电子邮件等方式通知终端客户收货人。</w:t>
      </w:r>
    </w:p>
    <w:p w14:paraId="2037AE59">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2.4违约责任</w:t>
      </w:r>
    </w:p>
    <w:p w14:paraId="528C2E91">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2.4.1乙方应当在交付货物时向</w:t>
      </w:r>
      <w:r>
        <w:rPr>
          <w:rFonts w:hint="eastAsia" w:ascii="仿宋" w:hAnsi="仿宋" w:eastAsia="仿宋" w:cs="仿宋"/>
          <w:spacing w:val="-2"/>
          <w:kern w:val="2"/>
          <w:sz w:val="24"/>
          <w:szCs w:val="24"/>
          <w:highlight w:val="yellow"/>
          <w:lang w:val="en-US" w:eastAsia="zh-CN" w:bidi="ar-SA"/>
        </w:rPr>
        <w:t>甲方指定收货人</w:t>
      </w:r>
      <w:r>
        <w:rPr>
          <w:rFonts w:hint="eastAsia" w:ascii="仿宋" w:hAnsi="仿宋" w:eastAsia="仿宋" w:cs="仿宋"/>
          <w:spacing w:val="-2"/>
          <w:kern w:val="2"/>
          <w:sz w:val="24"/>
          <w:szCs w:val="24"/>
          <w:lang w:val="en-US" w:eastAsia="zh-CN" w:bidi="ar-SA"/>
        </w:rPr>
        <w:t>提供货物的相关单证与资料，否则</w:t>
      </w:r>
      <w:r>
        <w:rPr>
          <w:rFonts w:hint="eastAsia" w:ascii="仿宋" w:hAnsi="仿宋" w:eastAsia="仿宋" w:cs="仿宋"/>
          <w:spacing w:val="-2"/>
          <w:kern w:val="2"/>
          <w:sz w:val="24"/>
          <w:szCs w:val="24"/>
          <w:highlight w:val="yellow"/>
          <w:lang w:val="en-US" w:eastAsia="zh-CN" w:bidi="ar-SA"/>
        </w:rPr>
        <w:t>甲方指定收货人</w:t>
      </w:r>
      <w:r>
        <w:rPr>
          <w:rFonts w:hint="eastAsia" w:ascii="仿宋" w:hAnsi="仿宋" w:eastAsia="仿宋" w:cs="仿宋"/>
          <w:spacing w:val="-2"/>
          <w:kern w:val="2"/>
          <w:sz w:val="24"/>
          <w:szCs w:val="24"/>
          <w:lang w:val="en-US" w:eastAsia="zh-CN" w:bidi="ar-SA"/>
        </w:rPr>
        <w:t>若拒绝接收该批货物，投标方应承担由此给招标方造成的一切费用和损失。</w:t>
      </w:r>
    </w:p>
    <w:p w14:paraId="0ECD0E85">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2.4.2 因乙方逾期交货、因乙方原因导致货物质量不合格、乙方原因未按约定的时间和计划量如期履约等违约行为，导致无法向</w:t>
      </w:r>
      <w:r>
        <w:rPr>
          <w:rFonts w:hint="eastAsia" w:ascii="仿宋" w:hAnsi="仿宋" w:eastAsia="仿宋" w:cs="仿宋"/>
          <w:spacing w:val="-2"/>
          <w:kern w:val="2"/>
          <w:sz w:val="24"/>
          <w:szCs w:val="24"/>
          <w:highlight w:val="yellow"/>
          <w:lang w:val="en-US" w:eastAsia="zh-CN" w:bidi="ar-SA"/>
        </w:rPr>
        <w:t>甲方指定</w:t>
      </w:r>
      <w:r>
        <w:rPr>
          <w:rFonts w:hint="eastAsia" w:ascii="仿宋" w:hAnsi="仿宋" w:eastAsia="仿宋" w:cs="仿宋"/>
          <w:spacing w:val="-2"/>
          <w:kern w:val="2"/>
          <w:sz w:val="24"/>
          <w:szCs w:val="24"/>
          <w:lang w:val="en-US" w:eastAsia="zh-CN" w:bidi="ar-SA"/>
        </w:rPr>
        <w:t>收货人交付液碱，若甲方因此承担违约责任形成损失，乙方应全额赔偿。</w:t>
      </w:r>
    </w:p>
    <w:p w14:paraId="5FACFFFB">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2.5</w:t>
      </w:r>
      <w:r>
        <w:rPr>
          <w:rFonts w:hint="default" w:ascii="仿宋" w:hAnsi="仿宋" w:eastAsia="仿宋" w:cs="仿宋"/>
          <w:spacing w:val="-2"/>
          <w:kern w:val="2"/>
          <w:sz w:val="24"/>
          <w:szCs w:val="24"/>
          <w:lang w:val="en-US" w:eastAsia="zh-CN" w:bidi="ar-SA"/>
        </w:rPr>
        <w:t>安全责任</w:t>
      </w:r>
    </w:p>
    <w:p w14:paraId="56157BF5">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2</w:t>
      </w:r>
      <w:r>
        <w:rPr>
          <w:rFonts w:hint="default" w:ascii="仿宋" w:hAnsi="仿宋" w:eastAsia="仿宋" w:cs="仿宋"/>
          <w:spacing w:val="-2"/>
          <w:kern w:val="2"/>
          <w:sz w:val="24"/>
          <w:szCs w:val="24"/>
          <w:lang w:val="en-US" w:eastAsia="zh-CN" w:bidi="ar-SA"/>
        </w:rPr>
        <w:t>.</w:t>
      </w:r>
      <w:r>
        <w:rPr>
          <w:rFonts w:hint="eastAsia" w:ascii="仿宋" w:hAnsi="仿宋" w:eastAsia="仿宋" w:cs="仿宋"/>
          <w:spacing w:val="-2"/>
          <w:kern w:val="2"/>
          <w:sz w:val="24"/>
          <w:szCs w:val="24"/>
          <w:lang w:val="en-US" w:eastAsia="zh-CN" w:bidi="ar-SA"/>
        </w:rPr>
        <w:t>5.1乙方</w:t>
      </w:r>
      <w:r>
        <w:rPr>
          <w:rFonts w:hint="default" w:ascii="仿宋" w:hAnsi="仿宋" w:eastAsia="仿宋" w:cs="仿宋"/>
          <w:spacing w:val="-2"/>
          <w:kern w:val="2"/>
          <w:sz w:val="24"/>
          <w:szCs w:val="24"/>
          <w:lang w:val="en-US" w:eastAsia="zh-CN" w:bidi="ar-SA"/>
        </w:rPr>
        <w:t>应严格按照</w:t>
      </w:r>
      <w:r>
        <w:rPr>
          <w:rFonts w:hint="eastAsia" w:ascii="仿宋" w:hAnsi="仿宋" w:eastAsia="仿宋" w:cs="仿宋"/>
          <w:spacing w:val="-2"/>
          <w:kern w:val="2"/>
          <w:sz w:val="24"/>
          <w:szCs w:val="24"/>
          <w:lang w:val="en-US" w:eastAsia="zh-CN" w:bidi="ar-SA"/>
        </w:rPr>
        <w:t>甲方指定收货人</w:t>
      </w:r>
      <w:r>
        <w:rPr>
          <w:rFonts w:hint="default" w:ascii="仿宋" w:hAnsi="仿宋" w:eastAsia="仿宋" w:cs="仿宋"/>
          <w:spacing w:val="-2"/>
          <w:kern w:val="2"/>
          <w:sz w:val="24"/>
          <w:szCs w:val="24"/>
          <w:lang w:val="en-US" w:eastAsia="zh-CN" w:bidi="ar-SA"/>
        </w:rPr>
        <w:t>的要求组织发运，确保运输车辆符合规定、包装符合安全要求，</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运输车辆进入</w:t>
      </w:r>
      <w:r>
        <w:rPr>
          <w:rFonts w:hint="eastAsia" w:ascii="仿宋" w:hAnsi="仿宋" w:eastAsia="仿宋" w:cs="仿宋"/>
          <w:spacing w:val="-2"/>
          <w:kern w:val="2"/>
          <w:sz w:val="24"/>
          <w:szCs w:val="24"/>
          <w:lang w:val="en-US" w:eastAsia="zh-CN" w:bidi="ar-SA"/>
        </w:rPr>
        <w:t>甲方指定收货人</w:t>
      </w:r>
      <w:r>
        <w:rPr>
          <w:rFonts w:hint="default" w:ascii="仿宋" w:hAnsi="仿宋" w:eastAsia="仿宋" w:cs="仿宋"/>
          <w:spacing w:val="-2"/>
          <w:kern w:val="2"/>
          <w:sz w:val="24"/>
          <w:szCs w:val="24"/>
          <w:lang w:val="en-US" w:eastAsia="zh-CN" w:bidi="ar-SA"/>
        </w:rPr>
        <w:t>厂区和卸货地点后必须严格遵守收货人安全环保和职业健康相关管理要求，服从指挥并按收货人要求卸车，否则，一切责任和风险以及由此带来的损失由</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承担。货物运输及卸货过程中由于</w:t>
      </w:r>
      <w:r>
        <w:rPr>
          <w:rFonts w:hint="eastAsia" w:ascii="仿宋" w:hAnsi="仿宋" w:eastAsia="仿宋" w:cs="仿宋"/>
          <w:spacing w:val="-2"/>
          <w:kern w:val="2"/>
          <w:sz w:val="24"/>
          <w:szCs w:val="24"/>
          <w:lang w:val="en-US" w:eastAsia="zh-CN" w:bidi="ar-SA"/>
        </w:rPr>
        <w:t>投标方</w:t>
      </w:r>
      <w:r>
        <w:rPr>
          <w:rFonts w:hint="default" w:ascii="仿宋" w:hAnsi="仿宋" w:eastAsia="仿宋" w:cs="仿宋"/>
          <w:spacing w:val="-2"/>
          <w:kern w:val="2"/>
          <w:sz w:val="24"/>
          <w:szCs w:val="24"/>
          <w:lang w:val="en-US" w:eastAsia="zh-CN" w:bidi="ar-SA"/>
        </w:rPr>
        <w:t>原因造成的泄漏、污染等运输安全和人身伤亡事故，所有责任和损失均由</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承担。</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送货人员及</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工作人员如违反收货人安全环保和职业健康相关管理要求，所产生的后果由</w:t>
      </w:r>
      <w:r>
        <w:rPr>
          <w:rFonts w:hint="eastAsia" w:ascii="仿宋" w:hAnsi="仿宋" w:eastAsia="仿宋" w:cs="仿宋"/>
          <w:spacing w:val="-2"/>
          <w:kern w:val="2"/>
          <w:sz w:val="24"/>
          <w:szCs w:val="24"/>
          <w:lang w:val="en-US" w:eastAsia="zh-CN" w:bidi="ar-SA"/>
        </w:rPr>
        <w:t>投标方</w:t>
      </w:r>
      <w:r>
        <w:rPr>
          <w:rFonts w:hint="default" w:ascii="仿宋" w:hAnsi="仿宋" w:eastAsia="仿宋" w:cs="仿宋"/>
          <w:spacing w:val="-2"/>
          <w:kern w:val="2"/>
          <w:sz w:val="24"/>
          <w:szCs w:val="24"/>
          <w:lang w:val="en-US" w:eastAsia="zh-CN" w:bidi="ar-SA"/>
        </w:rPr>
        <w:t>负责。</w:t>
      </w:r>
    </w:p>
    <w:p w14:paraId="278E6023">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2.5.2</w:t>
      </w:r>
      <w:r>
        <w:rPr>
          <w:rFonts w:hint="default" w:ascii="仿宋" w:hAnsi="仿宋" w:eastAsia="仿宋" w:cs="仿宋"/>
          <w:spacing w:val="-2"/>
          <w:kern w:val="2"/>
          <w:sz w:val="24"/>
          <w:szCs w:val="24"/>
          <w:lang w:val="en-US" w:eastAsia="zh-CN" w:bidi="ar-SA"/>
        </w:rPr>
        <w:t>运输监管：</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负责运输的安全监管工作，采取有效监管措施杜绝各类不法行为的发生。</w:t>
      </w:r>
      <w:r>
        <w:rPr>
          <w:rFonts w:hint="eastAsia" w:ascii="仿宋" w:hAnsi="仿宋" w:eastAsia="仿宋" w:cs="仿宋"/>
          <w:spacing w:val="-2"/>
          <w:kern w:val="2"/>
          <w:sz w:val="24"/>
          <w:szCs w:val="24"/>
          <w:lang w:val="en-US" w:eastAsia="zh-CN" w:bidi="ar-SA"/>
        </w:rPr>
        <w:t>若因</w:t>
      </w:r>
      <w:r>
        <w:rPr>
          <w:rFonts w:hint="default" w:ascii="仿宋" w:hAnsi="仿宋" w:eastAsia="仿宋" w:cs="仿宋"/>
          <w:spacing w:val="-2"/>
          <w:kern w:val="2"/>
          <w:sz w:val="24"/>
          <w:szCs w:val="24"/>
          <w:lang w:val="en-US" w:eastAsia="zh-CN" w:bidi="ar-SA"/>
        </w:rPr>
        <w:t>在</w:t>
      </w:r>
      <w:r>
        <w:rPr>
          <w:rFonts w:hint="eastAsia" w:ascii="仿宋" w:hAnsi="仿宋" w:eastAsia="仿宋" w:cs="仿宋"/>
          <w:spacing w:val="-2"/>
          <w:kern w:val="2"/>
          <w:sz w:val="24"/>
          <w:szCs w:val="24"/>
          <w:lang w:val="en-US" w:eastAsia="zh-CN" w:bidi="ar-SA"/>
        </w:rPr>
        <w:t>运输</w:t>
      </w:r>
      <w:r>
        <w:rPr>
          <w:rFonts w:hint="default" w:ascii="仿宋" w:hAnsi="仿宋" w:eastAsia="仿宋" w:cs="仿宋"/>
          <w:spacing w:val="-2"/>
          <w:kern w:val="2"/>
          <w:sz w:val="24"/>
          <w:szCs w:val="24"/>
          <w:lang w:val="en-US" w:eastAsia="zh-CN" w:bidi="ar-SA"/>
        </w:rPr>
        <w:t>中有掺杂使假的不法行为，</w:t>
      </w:r>
      <w:r>
        <w:rPr>
          <w:rFonts w:hint="eastAsia" w:ascii="仿宋" w:hAnsi="仿宋" w:eastAsia="仿宋" w:cs="仿宋"/>
          <w:spacing w:val="-2"/>
          <w:kern w:val="2"/>
          <w:sz w:val="24"/>
          <w:szCs w:val="24"/>
          <w:lang w:val="en-US" w:eastAsia="zh-CN" w:bidi="ar-SA"/>
        </w:rPr>
        <w:t>导致甲方因此承担违约责任形成损失，乙方应全额赔偿。</w:t>
      </w:r>
    </w:p>
    <w:p w14:paraId="28747CFF">
      <w:pPr>
        <w:rPr>
          <w:rFonts w:hint="eastAsia" w:ascii="宋体" w:hAnsi="宋体" w:cs="宋体"/>
          <w:b/>
          <w:bCs/>
          <w:sz w:val="28"/>
          <w:szCs w:val="28"/>
        </w:rPr>
      </w:pPr>
    </w:p>
    <w:p w14:paraId="04982A01">
      <w:pPr>
        <w:numPr>
          <w:ilvl w:val="0"/>
          <w:numId w:val="1"/>
        </w:numPr>
        <w:rPr>
          <w:rFonts w:hint="default" w:ascii="仿宋" w:hAnsi="仿宋" w:eastAsia="仿宋" w:cs="仿宋"/>
          <w:b/>
          <w:bCs/>
          <w:spacing w:val="-11"/>
          <w:kern w:val="2"/>
          <w:sz w:val="24"/>
          <w:szCs w:val="24"/>
          <w:lang w:val="en-US" w:eastAsia="zh-CN" w:bidi="ar-SA"/>
        </w:rPr>
      </w:pPr>
      <w:r>
        <w:rPr>
          <w:rFonts w:hint="eastAsia" w:ascii="仿宋" w:hAnsi="仿宋" w:eastAsia="仿宋" w:cs="仿宋"/>
          <w:b/>
          <w:bCs/>
          <w:spacing w:val="-11"/>
          <w:kern w:val="2"/>
          <w:sz w:val="24"/>
          <w:szCs w:val="24"/>
          <w:lang w:val="en-US" w:eastAsia="zh-CN" w:bidi="ar-SA"/>
        </w:rPr>
        <w:t>储罐技术规格要求</w:t>
      </w:r>
    </w:p>
    <w:p w14:paraId="307B5249">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spacing w:val="-2"/>
          <w:kern w:val="2"/>
          <w:sz w:val="24"/>
          <w:szCs w:val="24"/>
          <w:highlight w:val="yellow"/>
          <w:lang w:val="en-US" w:eastAsia="zh-CN" w:bidi="ar-SA"/>
        </w:rPr>
      </w:pPr>
      <w:r>
        <w:rPr>
          <w:rFonts w:hint="eastAsia" w:ascii="仿宋" w:hAnsi="仿宋" w:eastAsia="仿宋" w:cs="仿宋"/>
          <w:spacing w:val="-2"/>
          <w:kern w:val="2"/>
          <w:sz w:val="24"/>
          <w:szCs w:val="24"/>
          <w:lang w:val="en-US" w:eastAsia="zh-CN" w:bidi="ar-SA"/>
        </w:rPr>
        <w:t>3.1提供储存条件的义务:提供适当的储罐及附属设施，为保证安全营运对上述设施采取适当的监管、维护、保养、清洗措施。</w:t>
      </w:r>
      <w:r>
        <w:rPr>
          <w:rFonts w:hint="eastAsia" w:ascii="仿宋" w:hAnsi="仿宋" w:eastAsia="仿宋" w:cs="仿宋"/>
          <w:spacing w:val="-2"/>
          <w:kern w:val="2"/>
          <w:sz w:val="24"/>
          <w:szCs w:val="24"/>
          <w:highlight w:val="yellow"/>
          <w:lang w:val="en-US" w:eastAsia="zh-CN" w:bidi="ar-SA"/>
        </w:rPr>
        <w:t>甲方每次需将到港计划发邮件通知给乙方，由乙方确认邮件通知。如因乙方原因，导致罐容放不下，产生的滞期费由乙方负责。</w:t>
      </w:r>
    </w:p>
    <w:p w14:paraId="679A59A1">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3.2</w:t>
      </w:r>
      <w:r>
        <w:rPr>
          <w:rFonts w:hint="default" w:ascii="仿宋" w:hAnsi="仿宋" w:eastAsia="仿宋" w:cs="仿宋"/>
          <w:spacing w:val="-2"/>
          <w:kern w:val="2"/>
          <w:sz w:val="24"/>
          <w:szCs w:val="24"/>
          <w:lang w:val="en-US" w:eastAsia="zh-CN" w:bidi="ar-SA"/>
        </w:rPr>
        <w:t>保证</w:t>
      </w:r>
      <w:r>
        <w:rPr>
          <w:rFonts w:hint="eastAsia" w:ascii="仿宋" w:hAnsi="仿宋" w:eastAsia="仿宋" w:cs="仿宋"/>
          <w:spacing w:val="-2"/>
          <w:kern w:val="2"/>
          <w:sz w:val="24"/>
          <w:szCs w:val="24"/>
          <w:lang w:val="en-US" w:eastAsia="zh-CN" w:bidi="ar-SA"/>
        </w:rPr>
        <w:t>液碱</w:t>
      </w:r>
      <w:r>
        <w:rPr>
          <w:rFonts w:hint="default" w:ascii="仿宋" w:hAnsi="仿宋" w:eastAsia="仿宋" w:cs="仿宋"/>
          <w:spacing w:val="-2"/>
          <w:kern w:val="2"/>
          <w:sz w:val="24"/>
          <w:szCs w:val="24"/>
          <w:lang w:val="en-US" w:eastAsia="zh-CN" w:bidi="ar-SA"/>
        </w:rPr>
        <w:t>品质的义务:按照</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操作规程，妥善管理</w:t>
      </w:r>
      <w:r>
        <w:rPr>
          <w:rFonts w:hint="eastAsia" w:ascii="仿宋" w:hAnsi="仿宋" w:eastAsia="仿宋" w:cs="仿宋"/>
          <w:spacing w:val="-2"/>
          <w:kern w:val="2"/>
          <w:sz w:val="24"/>
          <w:szCs w:val="24"/>
          <w:lang w:val="en-US" w:eastAsia="zh-CN" w:bidi="ar-SA"/>
        </w:rPr>
        <w:t>投标</w:t>
      </w:r>
      <w:r>
        <w:rPr>
          <w:rFonts w:hint="default" w:ascii="仿宋" w:hAnsi="仿宋" w:eastAsia="仿宋" w:cs="仿宋"/>
          <w:spacing w:val="-2"/>
          <w:kern w:val="2"/>
          <w:sz w:val="24"/>
          <w:szCs w:val="24"/>
          <w:lang w:val="en-US" w:eastAsia="zh-CN" w:bidi="ar-SA"/>
        </w:rPr>
        <w:t>方所储存的</w:t>
      </w:r>
      <w:r>
        <w:rPr>
          <w:rFonts w:hint="eastAsia" w:ascii="仿宋" w:hAnsi="仿宋" w:eastAsia="仿宋" w:cs="仿宋"/>
          <w:spacing w:val="-2"/>
          <w:kern w:val="2"/>
          <w:sz w:val="24"/>
          <w:szCs w:val="24"/>
          <w:lang w:val="en-US" w:eastAsia="zh-CN" w:bidi="ar-SA"/>
        </w:rPr>
        <w:t>液碱</w:t>
      </w:r>
      <w:r>
        <w:rPr>
          <w:rFonts w:hint="default" w:ascii="仿宋" w:hAnsi="仿宋" w:eastAsia="仿宋" w:cs="仿宋"/>
          <w:spacing w:val="-2"/>
          <w:kern w:val="2"/>
          <w:sz w:val="24"/>
          <w:szCs w:val="24"/>
          <w:lang w:val="en-US" w:eastAsia="zh-CN" w:bidi="ar-SA"/>
        </w:rPr>
        <w:t>，</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保证液碱的品质标准应符合中华人民共和国国标《GB/T-</w:t>
      </w:r>
      <w:r>
        <w:rPr>
          <w:rFonts w:hint="eastAsia" w:ascii="仿宋" w:hAnsi="仿宋" w:eastAsia="仿宋" w:cs="仿宋"/>
          <w:spacing w:val="-2"/>
          <w:kern w:val="2"/>
          <w:sz w:val="24"/>
          <w:szCs w:val="24"/>
          <w:lang w:val="en-US" w:eastAsia="zh-CN" w:bidi="ar-SA"/>
        </w:rPr>
        <w:t>11199</w:t>
      </w:r>
      <w:r>
        <w:rPr>
          <w:rFonts w:hint="default" w:ascii="仿宋" w:hAnsi="仿宋" w:eastAsia="仿宋" w:cs="仿宋"/>
          <w:spacing w:val="-2"/>
          <w:kern w:val="2"/>
          <w:sz w:val="24"/>
          <w:szCs w:val="24"/>
          <w:lang w:val="en-US" w:eastAsia="zh-CN" w:bidi="ar-SA"/>
        </w:rPr>
        <w:t>-20</w:t>
      </w:r>
      <w:r>
        <w:rPr>
          <w:rFonts w:hint="eastAsia" w:ascii="仿宋" w:hAnsi="仿宋" w:eastAsia="仿宋" w:cs="仿宋"/>
          <w:spacing w:val="-2"/>
          <w:kern w:val="2"/>
          <w:sz w:val="24"/>
          <w:szCs w:val="24"/>
          <w:lang w:val="en-US" w:eastAsia="zh-CN" w:bidi="ar-SA"/>
        </w:rPr>
        <w:t>24</w:t>
      </w:r>
      <w:r>
        <w:rPr>
          <w:rFonts w:hint="default" w:ascii="仿宋" w:hAnsi="仿宋" w:eastAsia="仿宋" w:cs="仿宋"/>
          <w:spacing w:val="-2"/>
          <w:kern w:val="2"/>
          <w:sz w:val="24"/>
          <w:szCs w:val="24"/>
          <w:lang w:val="en-US" w:eastAsia="zh-CN" w:bidi="ar-SA"/>
        </w:rPr>
        <w:t>》之最新规范（IL-</w:t>
      </w:r>
      <w:r>
        <w:rPr>
          <w:rFonts w:hint="eastAsia" w:ascii="仿宋" w:hAnsi="仿宋" w:eastAsia="仿宋" w:cs="仿宋"/>
          <w:spacing w:val="-2"/>
          <w:kern w:val="2"/>
          <w:sz w:val="24"/>
          <w:szCs w:val="24"/>
          <w:lang w:val="en-US" w:eastAsia="zh-CN" w:bidi="ar-SA"/>
        </w:rPr>
        <w:t>Ⅰ</w:t>
      </w:r>
      <w:r>
        <w:rPr>
          <w:rFonts w:hint="default" w:ascii="仿宋" w:hAnsi="仿宋" w:eastAsia="仿宋" w:cs="仿宋"/>
          <w:spacing w:val="-2"/>
          <w:kern w:val="2"/>
          <w:sz w:val="24"/>
          <w:szCs w:val="24"/>
          <w:lang w:val="en-US" w:eastAsia="zh-CN" w:bidi="ar-SA"/>
        </w:rPr>
        <w:t>型）之工业液碱的质量技术标准，如下表。</w:t>
      </w:r>
    </w:p>
    <w:p w14:paraId="5A00B3B3">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pPr>
      <w:r>
        <w:drawing>
          <wp:inline distT="0" distB="0" distL="114300" distR="114300">
            <wp:extent cx="5273040" cy="2482850"/>
            <wp:effectExtent l="0" t="0" r="1016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3040" cy="2482850"/>
                    </a:xfrm>
                    <a:prstGeom prst="rect">
                      <a:avLst/>
                    </a:prstGeom>
                    <a:noFill/>
                    <a:ln>
                      <a:noFill/>
                    </a:ln>
                  </pic:spPr>
                </pic:pic>
              </a:graphicData>
            </a:graphic>
          </wp:inline>
        </w:drawing>
      </w:r>
    </w:p>
    <w:p w14:paraId="20DE78A8">
      <w:pPr>
        <w:keepNext w:val="0"/>
        <w:keepLines w:val="0"/>
        <w:pageBreakBefore w:val="0"/>
        <w:widowControl w:val="0"/>
        <w:tabs>
          <w:tab w:val="left" w:pos="739"/>
        </w:tabs>
        <w:kinsoku/>
        <w:wordWrap/>
        <w:overflowPunct/>
        <w:topLinePunct w:val="0"/>
        <w:autoSpaceDE/>
        <w:autoSpaceDN/>
        <w:bidi w:val="0"/>
        <w:adjustRightInd/>
        <w:snapToGrid/>
        <w:spacing w:line="360" w:lineRule="auto"/>
        <w:ind w:firstLine="472" w:firstLineChars="200"/>
        <w:jc w:val="left"/>
        <w:textAlignment w:val="auto"/>
        <w:rPr>
          <w:rFonts w:hint="default" w:ascii="仿宋" w:hAnsi="仿宋" w:eastAsia="仿宋" w:cs="仿宋"/>
          <w:spacing w:val="-2"/>
          <w:kern w:val="2"/>
          <w:sz w:val="24"/>
          <w:szCs w:val="24"/>
          <w:lang w:val="en-US" w:eastAsia="zh-CN" w:bidi="ar-SA"/>
        </w:rPr>
      </w:pPr>
      <w:r>
        <w:rPr>
          <w:rFonts w:hint="default" w:ascii="仿宋" w:hAnsi="仿宋" w:eastAsia="仿宋" w:cs="仿宋"/>
          <w:spacing w:val="-2"/>
          <w:kern w:val="2"/>
          <w:sz w:val="24"/>
          <w:szCs w:val="24"/>
          <w:lang w:val="en-US" w:eastAsia="zh-CN" w:bidi="ar-SA"/>
        </w:rPr>
        <w:t>若发生</w:t>
      </w:r>
      <w:r>
        <w:rPr>
          <w:rFonts w:hint="eastAsia" w:ascii="仿宋" w:hAnsi="仿宋" w:eastAsia="仿宋" w:cs="仿宋"/>
          <w:spacing w:val="-2"/>
          <w:kern w:val="2"/>
          <w:sz w:val="24"/>
          <w:szCs w:val="24"/>
          <w:lang w:val="en-US" w:eastAsia="zh-CN" w:bidi="ar-SA"/>
        </w:rPr>
        <w:t>甲方指定收货人</w:t>
      </w:r>
      <w:r>
        <w:rPr>
          <w:rFonts w:hint="default" w:ascii="仿宋" w:hAnsi="仿宋" w:eastAsia="仿宋" w:cs="仿宋"/>
          <w:spacing w:val="-2"/>
          <w:kern w:val="2"/>
          <w:sz w:val="24"/>
          <w:szCs w:val="24"/>
          <w:lang w:val="en-US" w:eastAsia="zh-CN" w:bidi="ar-SA"/>
        </w:rPr>
        <w:t>因质量不合格退货等，</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要承担</w:t>
      </w:r>
      <w:r>
        <w:rPr>
          <w:rFonts w:hint="eastAsia" w:ascii="仿宋" w:hAnsi="仿宋" w:eastAsia="仿宋" w:cs="仿宋"/>
          <w:spacing w:val="-2"/>
          <w:kern w:val="2"/>
          <w:sz w:val="24"/>
          <w:szCs w:val="24"/>
          <w:lang w:val="en-US" w:eastAsia="zh-CN" w:bidi="ar-SA"/>
        </w:rPr>
        <w:t>招标方</w:t>
      </w:r>
      <w:r>
        <w:rPr>
          <w:rFonts w:hint="default" w:ascii="仿宋" w:hAnsi="仿宋" w:eastAsia="仿宋" w:cs="仿宋"/>
          <w:spacing w:val="-2"/>
          <w:kern w:val="2"/>
          <w:sz w:val="24"/>
          <w:szCs w:val="24"/>
          <w:lang w:val="en-US" w:eastAsia="zh-CN" w:bidi="ar-SA"/>
        </w:rPr>
        <w:t>损失，含</w:t>
      </w:r>
      <w:r>
        <w:rPr>
          <w:rFonts w:hint="eastAsia" w:ascii="仿宋" w:hAnsi="仿宋" w:eastAsia="仿宋" w:cs="仿宋"/>
          <w:spacing w:val="-2"/>
          <w:kern w:val="2"/>
          <w:sz w:val="24"/>
          <w:szCs w:val="24"/>
          <w:lang w:val="en-US" w:eastAsia="zh-CN" w:bidi="ar-SA"/>
        </w:rPr>
        <w:t>代理</w:t>
      </w:r>
      <w:r>
        <w:rPr>
          <w:rFonts w:hint="default" w:ascii="仿宋" w:hAnsi="仿宋" w:eastAsia="仿宋" w:cs="仿宋"/>
          <w:spacing w:val="-2"/>
          <w:kern w:val="2"/>
          <w:sz w:val="24"/>
          <w:szCs w:val="24"/>
          <w:lang w:val="en-US" w:eastAsia="zh-CN" w:bidi="ar-SA"/>
        </w:rPr>
        <w:t>费、</w:t>
      </w:r>
      <w:r>
        <w:rPr>
          <w:rFonts w:hint="eastAsia" w:ascii="仿宋" w:hAnsi="仿宋" w:eastAsia="仿宋" w:cs="仿宋"/>
          <w:spacing w:val="-2"/>
          <w:kern w:val="2"/>
          <w:sz w:val="24"/>
          <w:szCs w:val="24"/>
          <w:lang w:val="en-US" w:eastAsia="zh-CN" w:bidi="ar-SA"/>
        </w:rPr>
        <w:t>液碱</w:t>
      </w:r>
      <w:r>
        <w:rPr>
          <w:rFonts w:hint="default" w:ascii="仿宋" w:hAnsi="仿宋" w:eastAsia="仿宋" w:cs="仿宋"/>
          <w:spacing w:val="-2"/>
          <w:kern w:val="2"/>
          <w:sz w:val="24"/>
          <w:szCs w:val="24"/>
          <w:lang w:val="en-US" w:eastAsia="zh-CN" w:bidi="ar-SA"/>
        </w:rPr>
        <w:t>价值等其他损失的义务；如</w:t>
      </w:r>
      <w:r>
        <w:rPr>
          <w:rFonts w:hint="eastAsia" w:ascii="仿宋" w:hAnsi="仿宋" w:eastAsia="仿宋" w:cs="仿宋"/>
          <w:spacing w:val="-2"/>
          <w:kern w:val="2"/>
          <w:sz w:val="24"/>
          <w:szCs w:val="24"/>
          <w:lang w:val="en-US" w:eastAsia="zh-CN" w:bidi="ar-SA"/>
        </w:rPr>
        <w:t>乙方</w:t>
      </w:r>
      <w:r>
        <w:rPr>
          <w:rFonts w:hint="default" w:ascii="仿宋" w:hAnsi="仿宋" w:eastAsia="仿宋" w:cs="仿宋"/>
          <w:spacing w:val="-2"/>
          <w:kern w:val="2"/>
          <w:sz w:val="24"/>
          <w:szCs w:val="24"/>
          <w:lang w:val="en-US" w:eastAsia="zh-CN" w:bidi="ar-SA"/>
        </w:rPr>
        <w:t>认定自身无过错情况下，</w:t>
      </w:r>
      <w:r>
        <w:rPr>
          <w:rFonts w:hint="eastAsia" w:ascii="仿宋" w:hAnsi="仿宋" w:eastAsia="仿宋" w:cs="仿宋"/>
          <w:spacing w:val="-2"/>
          <w:kern w:val="2"/>
          <w:sz w:val="24"/>
          <w:szCs w:val="24"/>
          <w:lang w:val="en-US" w:eastAsia="zh-CN" w:bidi="ar-SA"/>
        </w:rPr>
        <w:t>甲乙双方</w:t>
      </w:r>
      <w:r>
        <w:rPr>
          <w:rFonts w:hint="default" w:ascii="仿宋" w:hAnsi="仿宋" w:eastAsia="仿宋" w:cs="仿宋"/>
          <w:spacing w:val="-2"/>
          <w:kern w:val="2"/>
          <w:sz w:val="24"/>
          <w:szCs w:val="24"/>
          <w:lang w:val="en-US" w:eastAsia="zh-CN" w:bidi="ar-SA"/>
        </w:rPr>
        <w:t>邀请</w:t>
      </w:r>
      <w:r>
        <w:rPr>
          <w:rFonts w:hint="eastAsia" w:ascii="仿宋" w:hAnsi="仿宋" w:eastAsia="仿宋" w:cs="仿宋"/>
          <w:spacing w:val="-2"/>
          <w:kern w:val="2"/>
          <w:sz w:val="24"/>
          <w:szCs w:val="24"/>
          <w:lang w:val="en-US" w:eastAsia="zh-CN" w:bidi="ar-SA"/>
        </w:rPr>
        <w:t>共同认可的</w:t>
      </w:r>
      <w:r>
        <w:rPr>
          <w:rFonts w:hint="default" w:ascii="仿宋" w:hAnsi="仿宋" w:eastAsia="仿宋" w:cs="仿宋"/>
          <w:spacing w:val="-2"/>
          <w:kern w:val="2"/>
          <w:sz w:val="24"/>
          <w:szCs w:val="24"/>
          <w:lang w:val="en-US" w:eastAsia="zh-CN" w:bidi="ar-SA"/>
        </w:rPr>
        <w:t>第三方</w:t>
      </w:r>
      <w:r>
        <w:rPr>
          <w:rFonts w:hint="eastAsia" w:ascii="仿宋" w:hAnsi="仿宋" w:eastAsia="仿宋" w:cs="仿宋"/>
          <w:spacing w:val="-2"/>
          <w:kern w:val="2"/>
          <w:sz w:val="24"/>
          <w:szCs w:val="24"/>
          <w:lang w:val="en-US" w:eastAsia="zh-CN" w:bidi="ar-SA"/>
        </w:rPr>
        <w:t>检测机构</w:t>
      </w:r>
      <w:r>
        <w:rPr>
          <w:rFonts w:hint="default" w:ascii="仿宋" w:hAnsi="仿宋" w:eastAsia="仿宋" w:cs="仿宋"/>
          <w:spacing w:val="-2"/>
          <w:kern w:val="2"/>
          <w:sz w:val="24"/>
          <w:szCs w:val="24"/>
          <w:lang w:val="en-US" w:eastAsia="zh-CN" w:bidi="ar-SA"/>
        </w:rPr>
        <w:t>进行认定过错方，过错方需承担</w:t>
      </w:r>
      <w:r>
        <w:rPr>
          <w:rFonts w:hint="eastAsia" w:ascii="仿宋" w:hAnsi="仿宋" w:eastAsia="仿宋" w:cs="仿宋"/>
          <w:spacing w:val="-2"/>
          <w:kern w:val="2"/>
          <w:sz w:val="24"/>
          <w:szCs w:val="24"/>
          <w:lang w:val="en-US" w:eastAsia="zh-CN" w:bidi="ar-SA"/>
        </w:rPr>
        <w:t>液碱</w:t>
      </w:r>
      <w:r>
        <w:rPr>
          <w:rFonts w:hint="default" w:ascii="仿宋" w:hAnsi="仿宋" w:eastAsia="仿宋" w:cs="仿宋"/>
          <w:spacing w:val="-2"/>
          <w:kern w:val="2"/>
          <w:sz w:val="24"/>
          <w:szCs w:val="24"/>
          <w:lang w:val="en-US" w:eastAsia="zh-CN" w:bidi="ar-SA"/>
        </w:rPr>
        <w:t>等其他一系列的损失。</w:t>
      </w:r>
    </w:p>
    <w:p w14:paraId="55DF8A71">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3.3出具进罐数量证明的义务:乙方接收货物后，按本合同约定的方式确认数量后,向甲方出具货物进罐数量证明。</w:t>
      </w:r>
    </w:p>
    <w:p w14:paraId="066C4B68">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3.4出具报表的义务:乙方于货物进出操作后第二个工作日向甲方出具货物的进出罐报表。如甲方对乙方出具的报表有异议，则甲方须在收到报表后1个工作日内提出，否则视为认同乙方所提供的报表数据。</w:t>
      </w:r>
    </w:p>
    <w:p w14:paraId="687C2627">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3.5配合查询的义务:乙方及时配合甲方对货物的储存情况进行查询。</w:t>
      </w:r>
    </w:p>
    <w:p w14:paraId="1F66C35E">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FF0000"/>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3.6</w:t>
      </w:r>
      <w:r>
        <w:rPr>
          <w:rFonts w:hint="eastAsia" w:ascii="仿宋" w:hAnsi="仿宋" w:eastAsia="仿宋" w:cs="仿宋"/>
          <w:color w:val="FF0000"/>
          <w:spacing w:val="-2"/>
          <w:kern w:val="2"/>
          <w:sz w:val="24"/>
          <w:szCs w:val="24"/>
          <w:lang w:val="en-US" w:eastAsia="zh-CN" w:bidi="ar-SA"/>
        </w:rPr>
        <w:t>双方约定，甲方将所需货物卸货至指定码头后，货物的管理权及所有风险即转移至乙方。乙方应自管理权转移之日起承担货物保管、运输及其他一切责任；乙方按照甲方的要求，将本批次货物准确无误送货至甲方指定下游客户。</w:t>
      </w:r>
    </w:p>
    <w:p w14:paraId="4911EF49">
      <w:pPr>
        <w:keepNext w:val="0"/>
        <w:keepLines w:val="0"/>
        <w:pageBreakBefore w:val="0"/>
        <w:widowControl w:val="0"/>
        <w:tabs>
          <w:tab w:val="left" w:pos="739"/>
        </w:tabs>
        <w:kinsoku/>
        <w:wordWrap/>
        <w:overflowPunct/>
        <w:topLinePunct w:val="0"/>
        <w:autoSpaceDE/>
        <w:autoSpaceDN/>
        <w:bidi w:val="0"/>
        <w:adjustRightInd/>
        <w:snapToGrid/>
        <w:spacing w:line="360" w:lineRule="auto"/>
        <w:ind w:firstLine="0" w:firstLineChars="0"/>
        <w:jc w:val="left"/>
        <w:textAlignment w:val="auto"/>
        <w:rPr>
          <w:rFonts w:hint="default" w:ascii="仿宋" w:hAnsi="仿宋" w:eastAsia="仿宋" w:cs="仿宋"/>
          <w:color w:val="FF0000"/>
          <w:spacing w:val="-2"/>
          <w:kern w:val="2"/>
          <w:sz w:val="24"/>
          <w:szCs w:val="24"/>
          <w:lang w:val="en-US" w:eastAsia="zh-CN" w:bidi="ar-SA"/>
        </w:rPr>
      </w:pPr>
      <w:r>
        <w:rPr>
          <w:rFonts w:hint="default" w:ascii="仿宋" w:hAnsi="仿宋" w:eastAsia="仿宋" w:cs="仿宋"/>
          <w:color w:val="FF0000"/>
          <w:spacing w:val="-2"/>
          <w:kern w:val="2"/>
          <w:sz w:val="24"/>
          <w:szCs w:val="24"/>
          <w:lang w:val="en-US" w:eastAsia="zh-CN" w:bidi="ar-SA"/>
        </w:rPr>
        <w:t>若货物在转移后发生损毁、短缺，均由</w:t>
      </w:r>
      <w:r>
        <w:rPr>
          <w:rFonts w:hint="eastAsia" w:ascii="仿宋" w:hAnsi="仿宋" w:eastAsia="仿宋" w:cs="仿宋"/>
          <w:color w:val="FF0000"/>
          <w:spacing w:val="-2"/>
          <w:kern w:val="2"/>
          <w:sz w:val="24"/>
          <w:szCs w:val="24"/>
          <w:lang w:val="en-US" w:eastAsia="zh-CN" w:bidi="ar-SA"/>
        </w:rPr>
        <w:t>乙</w:t>
      </w:r>
      <w:r>
        <w:rPr>
          <w:rFonts w:hint="default" w:ascii="仿宋" w:hAnsi="仿宋" w:eastAsia="仿宋" w:cs="仿宋"/>
          <w:color w:val="FF0000"/>
          <w:spacing w:val="-2"/>
          <w:kern w:val="2"/>
          <w:sz w:val="24"/>
          <w:szCs w:val="24"/>
          <w:lang w:val="en-US" w:eastAsia="zh-CN" w:bidi="ar-SA"/>
        </w:rPr>
        <w:t>方承担，且应</w:t>
      </w:r>
      <w:r>
        <w:rPr>
          <w:rFonts w:hint="eastAsia" w:ascii="仿宋" w:hAnsi="仿宋" w:eastAsia="仿宋" w:cs="仿宋"/>
          <w:color w:val="FF0000"/>
          <w:spacing w:val="-2"/>
          <w:kern w:val="2"/>
          <w:sz w:val="24"/>
          <w:szCs w:val="24"/>
          <w:lang w:val="en-US" w:eastAsia="zh-CN" w:bidi="ar-SA"/>
        </w:rPr>
        <w:t>甲</w:t>
      </w:r>
      <w:r>
        <w:rPr>
          <w:rFonts w:hint="default" w:ascii="仿宋" w:hAnsi="仿宋" w:eastAsia="仿宋" w:cs="仿宋"/>
          <w:color w:val="FF0000"/>
          <w:spacing w:val="-2"/>
          <w:kern w:val="2"/>
          <w:sz w:val="24"/>
          <w:szCs w:val="24"/>
          <w:lang w:val="en-US" w:eastAsia="zh-CN" w:bidi="ar-SA"/>
        </w:rPr>
        <w:t>方与客户买卖合同的完税价格赔偿，同时承担由此给</w:t>
      </w:r>
      <w:r>
        <w:rPr>
          <w:rFonts w:hint="eastAsia" w:ascii="仿宋" w:hAnsi="仿宋" w:eastAsia="仿宋" w:cs="仿宋"/>
          <w:color w:val="FF0000"/>
          <w:spacing w:val="-2"/>
          <w:kern w:val="2"/>
          <w:sz w:val="24"/>
          <w:szCs w:val="24"/>
          <w:lang w:val="en-US" w:eastAsia="zh-CN" w:bidi="ar-SA"/>
        </w:rPr>
        <w:t>乙</w:t>
      </w:r>
      <w:r>
        <w:rPr>
          <w:rFonts w:hint="default" w:ascii="仿宋" w:hAnsi="仿宋" w:eastAsia="仿宋" w:cs="仿宋"/>
          <w:color w:val="FF0000"/>
          <w:spacing w:val="-2"/>
          <w:kern w:val="2"/>
          <w:sz w:val="24"/>
          <w:szCs w:val="24"/>
          <w:lang w:val="en-US" w:eastAsia="zh-CN" w:bidi="ar-SA"/>
        </w:rPr>
        <w:t>方造成的损失。</w:t>
      </w:r>
      <w:r>
        <w:rPr>
          <w:rFonts w:hint="eastAsia" w:ascii="仿宋" w:hAnsi="仿宋" w:eastAsia="仿宋" w:cs="仿宋"/>
          <w:color w:val="FF0000"/>
          <w:spacing w:val="-2"/>
          <w:kern w:val="2"/>
          <w:sz w:val="24"/>
          <w:szCs w:val="24"/>
          <w:lang w:val="en-US" w:eastAsia="zh-CN" w:bidi="ar-SA"/>
        </w:rPr>
        <w:t>甲方</w:t>
      </w:r>
      <w:r>
        <w:rPr>
          <w:rFonts w:hint="default" w:ascii="仿宋" w:hAnsi="仿宋" w:eastAsia="仿宋" w:cs="仿宋"/>
          <w:color w:val="FF0000"/>
          <w:spacing w:val="-2"/>
          <w:kern w:val="2"/>
          <w:sz w:val="24"/>
          <w:szCs w:val="24"/>
          <w:lang w:val="en-US" w:eastAsia="zh-CN" w:bidi="ar-SA"/>
        </w:rPr>
        <w:t>有权在服务费中直接抵扣，如有不足</w:t>
      </w:r>
      <w:r>
        <w:rPr>
          <w:rFonts w:hint="eastAsia" w:ascii="仿宋" w:hAnsi="仿宋" w:eastAsia="仿宋" w:cs="仿宋"/>
          <w:color w:val="FF0000"/>
          <w:spacing w:val="-2"/>
          <w:kern w:val="2"/>
          <w:sz w:val="24"/>
          <w:szCs w:val="24"/>
          <w:lang w:val="en-US" w:eastAsia="zh-CN" w:bidi="ar-SA"/>
        </w:rPr>
        <w:t>乙</w:t>
      </w:r>
      <w:r>
        <w:rPr>
          <w:rFonts w:hint="default" w:ascii="仿宋" w:hAnsi="仿宋" w:eastAsia="仿宋" w:cs="仿宋"/>
          <w:color w:val="FF0000"/>
          <w:spacing w:val="-2"/>
          <w:kern w:val="2"/>
          <w:sz w:val="24"/>
          <w:szCs w:val="24"/>
          <w:lang w:val="en-US" w:eastAsia="zh-CN" w:bidi="ar-SA"/>
        </w:rPr>
        <w:t>方须在一个月内结清赔偿款。逾期支付赔偿款的，</w:t>
      </w:r>
      <w:r>
        <w:rPr>
          <w:rFonts w:hint="eastAsia" w:ascii="仿宋" w:hAnsi="仿宋" w:eastAsia="仿宋" w:cs="仿宋"/>
          <w:color w:val="FF0000"/>
          <w:spacing w:val="-2"/>
          <w:kern w:val="2"/>
          <w:sz w:val="24"/>
          <w:szCs w:val="24"/>
          <w:lang w:val="en-US" w:eastAsia="zh-CN" w:bidi="ar-SA"/>
        </w:rPr>
        <w:t>乙</w:t>
      </w:r>
      <w:r>
        <w:rPr>
          <w:rFonts w:hint="default" w:ascii="仿宋" w:hAnsi="仿宋" w:eastAsia="仿宋" w:cs="仿宋"/>
          <w:color w:val="FF0000"/>
          <w:spacing w:val="-2"/>
          <w:kern w:val="2"/>
          <w:sz w:val="24"/>
          <w:szCs w:val="24"/>
          <w:lang w:val="en-US" w:eastAsia="zh-CN" w:bidi="ar-SA"/>
        </w:rPr>
        <w:t>方应按赔偿款总额的日万分之五另行向</w:t>
      </w:r>
      <w:r>
        <w:rPr>
          <w:rFonts w:hint="eastAsia" w:ascii="仿宋" w:hAnsi="仿宋" w:eastAsia="仿宋" w:cs="仿宋"/>
          <w:color w:val="FF0000"/>
          <w:spacing w:val="-2"/>
          <w:kern w:val="2"/>
          <w:sz w:val="24"/>
          <w:szCs w:val="24"/>
          <w:lang w:val="en-US" w:eastAsia="zh-CN" w:bidi="ar-SA"/>
        </w:rPr>
        <w:t>甲</w:t>
      </w:r>
      <w:r>
        <w:rPr>
          <w:rFonts w:hint="default" w:ascii="仿宋" w:hAnsi="仿宋" w:eastAsia="仿宋" w:cs="仿宋"/>
          <w:color w:val="FF0000"/>
          <w:spacing w:val="-2"/>
          <w:kern w:val="2"/>
          <w:sz w:val="24"/>
          <w:szCs w:val="24"/>
          <w:lang w:val="en-US" w:eastAsia="zh-CN" w:bidi="ar-SA"/>
        </w:rPr>
        <w:t>支付违约金。</w:t>
      </w:r>
    </w:p>
    <w:p w14:paraId="3B22CE0E">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FF0000"/>
          <w:spacing w:val="-2"/>
          <w:kern w:val="2"/>
          <w:sz w:val="24"/>
          <w:szCs w:val="24"/>
          <w:highlight w:val="yellow"/>
          <w:lang w:val="en-US" w:eastAsia="zh-CN" w:bidi="ar-SA"/>
        </w:rPr>
      </w:pPr>
      <w:r>
        <w:rPr>
          <w:rFonts w:hint="eastAsia" w:ascii="仿宋" w:hAnsi="仿宋" w:eastAsia="仿宋" w:cs="仿宋"/>
          <w:color w:val="FF0000"/>
          <w:spacing w:val="-2"/>
          <w:kern w:val="2"/>
          <w:sz w:val="24"/>
          <w:szCs w:val="24"/>
          <w:highlight w:val="yellow"/>
          <w:lang w:val="en-US" w:eastAsia="zh-CN" w:bidi="ar-SA"/>
        </w:rPr>
        <w:t>3.7货物储存期限及超期费用：甲方应自货物入库之日起60个自然日内完成提货，若甲方未能在上述期限内提货，乙方自第61日起按每日0.625元/吨的标准收取超期储存费，超期储存费按实际超期天数累计计算，不足一日按一日计收。</w:t>
      </w:r>
    </w:p>
    <w:p w14:paraId="084F2B99">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color w:val="FF0000"/>
          <w:spacing w:val="-2"/>
          <w:kern w:val="2"/>
          <w:sz w:val="24"/>
          <w:szCs w:val="24"/>
          <w:highlight w:val="yellow"/>
          <w:lang w:val="en-US" w:eastAsia="zh-CN" w:bidi="ar-SA"/>
        </w:rPr>
      </w:pPr>
      <w:r>
        <w:rPr>
          <w:rFonts w:hint="eastAsia" w:ascii="仿宋" w:hAnsi="仿宋" w:eastAsia="仿宋" w:cs="仿宋"/>
          <w:color w:val="FF0000"/>
          <w:spacing w:val="-2"/>
          <w:kern w:val="2"/>
          <w:sz w:val="24"/>
          <w:szCs w:val="24"/>
          <w:highlight w:val="yellow"/>
          <w:lang w:val="en-US" w:eastAsia="zh-CN" w:bidi="ar-SA"/>
        </w:rPr>
        <w:t>3.8甲方储罐内货物的库存量：甲方以50%浓度液碱通过船运至乙方（或其他符合约定条件的主体）指定的当地卸货港后，以卸货港第三方商检机构出具的商检报告所记载的船板量及浓度为基准，再按50%的浓度标准折算为对应水碱的数量，相应公式如下：甲方储罐内货物的库存量=卸货港第三方商检机构出具的商检报告所记载的船板量*第三方商检浓度÷50%。</w:t>
      </w:r>
    </w:p>
    <w:p w14:paraId="3EC089C8">
      <w:pPr>
        <w:rPr>
          <w:rFonts w:hint="eastAsia" w:ascii="仿宋" w:hAnsi="仿宋" w:eastAsia="仿宋" w:cs="仿宋"/>
          <w:b/>
          <w:bCs/>
          <w:spacing w:val="-11"/>
          <w:kern w:val="2"/>
          <w:sz w:val="24"/>
          <w:szCs w:val="24"/>
          <w:lang w:val="en-US" w:eastAsia="zh-CN" w:bidi="ar-SA"/>
        </w:rPr>
      </w:pPr>
    </w:p>
    <w:p w14:paraId="664A2486">
      <w:pPr>
        <w:numPr>
          <w:ilvl w:val="0"/>
          <w:numId w:val="1"/>
        </w:numPr>
        <w:ind w:left="0" w:leftChars="0" w:firstLine="0" w:firstLineChars="0"/>
        <w:rPr>
          <w:rFonts w:hint="default" w:ascii="仿宋" w:hAnsi="仿宋" w:eastAsia="仿宋" w:cs="仿宋"/>
          <w:b/>
          <w:bCs/>
          <w:spacing w:val="-11"/>
          <w:kern w:val="2"/>
          <w:sz w:val="24"/>
          <w:szCs w:val="24"/>
          <w:lang w:val="en-US" w:eastAsia="zh-CN" w:bidi="ar-SA"/>
        </w:rPr>
      </w:pPr>
      <w:r>
        <w:rPr>
          <w:rFonts w:hint="eastAsia" w:ascii="仿宋" w:hAnsi="仿宋" w:eastAsia="仿宋" w:cs="仿宋"/>
          <w:b/>
          <w:bCs/>
          <w:spacing w:val="-11"/>
          <w:kern w:val="2"/>
          <w:sz w:val="24"/>
          <w:szCs w:val="24"/>
          <w:lang w:val="en-US" w:eastAsia="zh-CN" w:bidi="ar-SA"/>
        </w:rPr>
        <w:t>验收和结算方式</w:t>
      </w:r>
    </w:p>
    <w:p w14:paraId="24510EE2">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FF0000"/>
          <w:spacing w:val="-2"/>
          <w:kern w:val="2"/>
          <w:sz w:val="24"/>
          <w:szCs w:val="24"/>
          <w:highlight w:val="yellow"/>
          <w:lang w:val="en-US" w:eastAsia="zh-CN" w:bidi="ar-SA"/>
        </w:rPr>
      </w:pPr>
      <w:r>
        <w:rPr>
          <w:rFonts w:hint="eastAsia" w:ascii="仿宋" w:hAnsi="仿宋" w:eastAsia="仿宋" w:cs="仿宋"/>
          <w:spacing w:val="-2"/>
          <w:kern w:val="2"/>
          <w:sz w:val="24"/>
          <w:szCs w:val="24"/>
          <w:lang w:val="en-US" w:eastAsia="zh-CN" w:bidi="ar-SA"/>
        </w:rPr>
        <w:t>4</w:t>
      </w:r>
      <w:r>
        <w:rPr>
          <w:rFonts w:hint="default" w:ascii="仿宋" w:hAnsi="仿宋" w:eastAsia="仿宋" w:cs="仿宋"/>
          <w:spacing w:val="-2"/>
          <w:kern w:val="2"/>
          <w:sz w:val="24"/>
          <w:szCs w:val="24"/>
          <w:lang w:val="en-US" w:eastAsia="zh-CN" w:bidi="ar-SA"/>
        </w:rPr>
        <w:t>.1</w:t>
      </w:r>
      <w:r>
        <w:rPr>
          <w:rFonts w:hint="eastAsia" w:ascii="仿宋" w:hAnsi="仿宋" w:eastAsia="仿宋" w:cs="仿宋"/>
          <w:spacing w:val="-2"/>
          <w:kern w:val="2"/>
          <w:sz w:val="24"/>
          <w:szCs w:val="24"/>
          <w:lang w:val="en-US" w:eastAsia="zh-CN" w:bidi="ar-SA"/>
        </w:rPr>
        <w:t>甲方船运至乙方</w:t>
      </w:r>
      <w:r>
        <w:rPr>
          <w:rFonts w:hint="eastAsia" w:ascii="仿宋" w:hAnsi="仿宋" w:eastAsia="仿宋" w:cs="仿宋"/>
          <w:color w:val="FF0000"/>
          <w:spacing w:val="-2"/>
          <w:kern w:val="2"/>
          <w:sz w:val="24"/>
          <w:szCs w:val="24"/>
          <w:highlight w:val="yellow"/>
          <w:lang w:val="en-US" w:eastAsia="zh-CN" w:bidi="ar-SA"/>
        </w:rPr>
        <w:t>50%液碱的符合条件的当地储罐仓储；</w:t>
      </w:r>
    </w:p>
    <w:p w14:paraId="55AAF8B5">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当地储罐仓储、港务费、装卸费等其他服务费：以甲方 50%液碱船运至乙方(其他符合条件)的当地卸货港的第三方商检报告记载的船板量。作为结算依据，公式如下：储罐仓储、港务费、装卸费=当地卸货港第三方商检船板量*（储罐仓储、港务费、装卸费结算金额）含税单价；</w:t>
      </w:r>
    </w:p>
    <w:p w14:paraId="63ACF453">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color w:val="FF0000"/>
          <w:spacing w:val="-2"/>
          <w:kern w:val="2"/>
          <w:sz w:val="24"/>
          <w:szCs w:val="24"/>
          <w:highlight w:val="yellow"/>
          <w:lang w:val="en-US" w:eastAsia="zh-CN" w:bidi="ar-SA"/>
        </w:rPr>
      </w:pPr>
      <w:r>
        <w:rPr>
          <w:rFonts w:hint="default" w:ascii="仿宋" w:hAnsi="仿宋" w:eastAsia="仿宋" w:cs="仿宋"/>
          <w:spacing w:val="-2"/>
          <w:kern w:val="2"/>
          <w:sz w:val="24"/>
          <w:szCs w:val="24"/>
          <w:lang w:val="en-US" w:eastAsia="zh-CN" w:bidi="ar-SA"/>
        </w:rPr>
        <w:t>汽运短驳服务</w:t>
      </w:r>
      <w:r>
        <w:rPr>
          <w:rFonts w:hint="eastAsia" w:ascii="仿宋" w:hAnsi="仿宋" w:eastAsia="仿宋" w:cs="仿宋"/>
          <w:spacing w:val="-2"/>
          <w:kern w:val="2"/>
          <w:sz w:val="24"/>
          <w:szCs w:val="24"/>
          <w:lang w:val="en-US" w:eastAsia="zh-CN" w:bidi="ar-SA"/>
        </w:rPr>
        <w:t>费：</w:t>
      </w:r>
      <w:r>
        <w:rPr>
          <w:rFonts w:hint="eastAsia" w:ascii="仿宋" w:hAnsi="仿宋" w:eastAsia="仿宋" w:cs="仿宋"/>
          <w:color w:val="FF0000"/>
          <w:spacing w:val="-2"/>
          <w:kern w:val="2"/>
          <w:sz w:val="24"/>
          <w:szCs w:val="24"/>
          <w:highlight w:val="yellow"/>
          <w:lang w:val="en-US" w:eastAsia="zh-CN" w:bidi="ar-SA"/>
        </w:rPr>
        <w:t>送到甲方指定收货人卸货数量*汽运短驳服务含税单价；</w:t>
      </w:r>
    </w:p>
    <w:p w14:paraId="696EC44C">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highlight w:val="none"/>
          <w:lang w:val="en-US" w:eastAsia="zh-CN" w:bidi="ar-SA"/>
        </w:rPr>
      </w:pPr>
      <w:r>
        <w:rPr>
          <w:rFonts w:hint="eastAsia" w:ascii="仿宋" w:hAnsi="仿宋" w:eastAsia="仿宋" w:cs="仿宋"/>
          <w:color w:val="FF0000"/>
          <w:spacing w:val="-2"/>
          <w:kern w:val="2"/>
          <w:sz w:val="24"/>
          <w:szCs w:val="24"/>
          <w:highlight w:val="none"/>
          <w:lang w:val="en-US" w:eastAsia="zh-CN" w:bidi="ar-SA"/>
        </w:rPr>
        <w:t>其中：损耗按照船批次结算，甲方承运的货物损耗率每批次不能超过3‰，若损耗超过3‰则超过的部分由乙方按甲方买卖合同的完税价格赔偿给甲方或甲方指定的收货方，同时承担由此给甲方造成的损失</w:t>
      </w:r>
      <w:r>
        <w:rPr>
          <w:rFonts w:hint="eastAsia" w:ascii="仿宋" w:hAnsi="仿宋" w:eastAsia="仿宋" w:cs="仿宋"/>
          <w:spacing w:val="-2"/>
          <w:kern w:val="2"/>
          <w:sz w:val="24"/>
          <w:szCs w:val="24"/>
          <w:highlight w:val="none"/>
          <w:lang w:val="en-US" w:eastAsia="zh-CN" w:bidi="ar-SA"/>
        </w:rPr>
        <w:t>；</w:t>
      </w:r>
    </w:p>
    <w:p w14:paraId="638ED438">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spacing w:val="-2"/>
          <w:kern w:val="2"/>
          <w:sz w:val="24"/>
          <w:szCs w:val="24"/>
          <w:lang w:val="en-US" w:eastAsia="zh-CN" w:bidi="ar-SA"/>
        </w:rPr>
      </w:pPr>
      <w:r>
        <w:rPr>
          <w:rFonts w:ascii="宋体" w:hAnsi="宋体" w:eastAsia="宋体" w:cs="宋体"/>
          <w:sz w:val="24"/>
          <w:szCs w:val="24"/>
        </w:rPr>
        <w:t>【损耗率的计算方法为：损耗率=（</w:t>
      </w:r>
      <w:r>
        <w:rPr>
          <w:rFonts w:hint="eastAsia" w:ascii="宋体" w:hAnsi="宋体" w:eastAsia="宋体" w:cs="宋体"/>
          <w:sz w:val="24"/>
          <w:szCs w:val="24"/>
        </w:rPr>
        <w:t>卸货港第三方商检船板折百量</w:t>
      </w:r>
      <w:r>
        <w:rPr>
          <w:rFonts w:ascii="宋体" w:hAnsi="宋体" w:eastAsia="宋体" w:cs="宋体"/>
          <w:sz w:val="24"/>
          <w:szCs w:val="24"/>
        </w:rPr>
        <w:t>-</w:t>
      </w:r>
      <w:r>
        <w:rPr>
          <w:rFonts w:hint="eastAsia" w:ascii="宋体" w:hAnsi="宋体" w:eastAsia="宋体" w:cs="宋体"/>
          <w:sz w:val="24"/>
          <w:szCs w:val="24"/>
          <w:lang w:val="en-US" w:eastAsia="zh-CN"/>
        </w:rPr>
        <w:t>同批次</w:t>
      </w:r>
      <w:r>
        <w:rPr>
          <w:rFonts w:hint="eastAsia" w:ascii="仿宋" w:hAnsi="仿宋" w:eastAsia="仿宋" w:cs="仿宋"/>
          <w:color w:val="FF0000"/>
          <w:spacing w:val="-2"/>
          <w:kern w:val="2"/>
          <w:sz w:val="24"/>
          <w:szCs w:val="24"/>
          <w:highlight w:val="none"/>
          <w:lang w:val="en-US" w:eastAsia="zh-CN" w:bidi="ar-SA"/>
        </w:rPr>
        <w:t>甲方指定收货人</w:t>
      </w:r>
      <w:r>
        <w:rPr>
          <w:rFonts w:hint="eastAsia" w:ascii="仿宋" w:hAnsi="仿宋" w:eastAsia="仿宋" w:cs="仿宋"/>
          <w:color w:val="FF0000"/>
          <w:spacing w:val="-2"/>
          <w:kern w:val="2"/>
          <w:sz w:val="24"/>
          <w:szCs w:val="24"/>
          <w:highlight w:val="yellow"/>
          <w:lang w:val="en-US" w:eastAsia="zh-CN" w:bidi="ar-SA"/>
        </w:rPr>
        <w:t>折百结算数量</w:t>
      </w:r>
      <w:r>
        <w:rPr>
          <w:rFonts w:ascii="宋体" w:hAnsi="宋体" w:eastAsia="宋体" w:cs="宋体"/>
          <w:sz w:val="24"/>
          <w:szCs w:val="24"/>
        </w:rPr>
        <w:t>）/</w:t>
      </w:r>
      <w:r>
        <w:rPr>
          <w:rFonts w:hint="eastAsia" w:ascii="宋体" w:hAnsi="宋体" w:eastAsia="宋体" w:cs="宋体"/>
          <w:sz w:val="24"/>
          <w:szCs w:val="24"/>
        </w:rPr>
        <w:t>卸货港第三方商检船板折百量</w:t>
      </w:r>
      <w:r>
        <w:rPr>
          <w:rFonts w:ascii="宋体" w:hAnsi="宋体" w:eastAsia="宋体" w:cs="宋体"/>
          <w:sz w:val="24"/>
          <w:szCs w:val="24"/>
        </w:rPr>
        <w:t>*100%】（每</w:t>
      </w:r>
      <w:r>
        <w:rPr>
          <w:rFonts w:hint="eastAsia" w:ascii="宋体" w:hAnsi="宋体" w:eastAsia="宋体" w:cs="宋体"/>
          <w:sz w:val="24"/>
          <w:szCs w:val="24"/>
          <w:lang w:val="en-US" w:eastAsia="zh-CN"/>
        </w:rPr>
        <w:t>船批次</w:t>
      </w:r>
      <w:r>
        <w:rPr>
          <w:rFonts w:ascii="宋体" w:hAnsi="宋体" w:eastAsia="宋体" w:cs="宋体"/>
          <w:sz w:val="24"/>
          <w:szCs w:val="24"/>
        </w:rPr>
        <w:t>核对</w:t>
      </w:r>
      <w:r>
        <w:rPr>
          <w:rFonts w:hint="eastAsia" w:ascii="宋体" w:hAnsi="宋体" w:eastAsia="宋体" w:cs="宋体"/>
          <w:sz w:val="24"/>
          <w:szCs w:val="24"/>
        </w:rPr>
        <w:t>卸货港第三方商检船板折百量</w:t>
      </w:r>
      <w:r>
        <w:rPr>
          <w:rFonts w:ascii="宋体" w:hAnsi="宋体" w:eastAsia="宋体" w:cs="宋体"/>
          <w:sz w:val="24"/>
          <w:szCs w:val="24"/>
        </w:rPr>
        <w:t>）</w:t>
      </w:r>
    </w:p>
    <w:p w14:paraId="49F6D80A">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spacing w:val="-2"/>
          <w:kern w:val="2"/>
          <w:sz w:val="24"/>
          <w:szCs w:val="24"/>
          <w:highlight w:val="yellow"/>
          <w:lang w:val="en-US" w:eastAsia="zh-CN" w:bidi="ar-SA"/>
        </w:rPr>
      </w:pPr>
      <w:r>
        <w:rPr>
          <w:rFonts w:hint="eastAsia" w:ascii="仿宋" w:hAnsi="仿宋" w:eastAsia="仿宋" w:cs="仿宋"/>
          <w:spacing w:val="-2"/>
          <w:kern w:val="2"/>
          <w:sz w:val="24"/>
          <w:szCs w:val="24"/>
          <w:highlight w:val="yellow"/>
          <w:lang w:val="en-US" w:eastAsia="zh-CN" w:bidi="ar-SA"/>
        </w:rPr>
        <w:t>4</w:t>
      </w:r>
      <w:r>
        <w:rPr>
          <w:rFonts w:hint="default" w:ascii="仿宋" w:hAnsi="仿宋" w:eastAsia="仿宋" w:cs="仿宋"/>
          <w:spacing w:val="-2"/>
          <w:kern w:val="2"/>
          <w:sz w:val="24"/>
          <w:szCs w:val="24"/>
          <w:highlight w:val="yellow"/>
          <w:lang w:val="en-US" w:eastAsia="zh-CN" w:bidi="ar-SA"/>
        </w:rPr>
        <w:t>.</w:t>
      </w:r>
      <w:r>
        <w:rPr>
          <w:rFonts w:hint="eastAsia" w:ascii="仿宋" w:hAnsi="仿宋" w:eastAsia="仿宋" w:cs="仿宋"/>
          <w:spacing w:val="-2"/>
          <w:kern w:val="2"/>
          <w:sz w:val="24"/>
          <w:szCs w:val="24"/>
          <w:highlight w:val="yellow"/>
          <w:lang w:val="en-US" w:eastAsia="zh-CN" w:bidi="ar-SA"/>
        </w:rPr>
        <w:t>2招标方</w:t>
      </w:r>
      <w:r>
        <w:rPr>
          <w:rFonts w:hint="default" w:ascii="仿宋" w:hAnsi="仿宋" w:eastAsia="仿宋" w:cs="仿宋"/>
          <w:spacing w:val="-2"/>
          <w:kern w:val="2"/>
          <w:sz w:val="24"/>
          <w:szCs w:val="24"/>
          <w:highlight w:val="yellow"/>
          <w:lang w:val="en-US" w:eastAsia="zh-CN" w:bidi="ar-SA"/>
        </w:rPr>
        <w:t>在交付</w:t>
      </w:r>
      <w:r>
        <w:rPr>
          <w:rFonts w:hint="eastAsia" w:ascii="仿宋" w:hAnsi="仿宋" w:eastAsia="仿宋" w:cs="仿宋"/>
          <w:spacing w:val="-2"/>
          <w:kern w:val="2"/>
          <w:sz w:val="24"/>
          <w:szCs w:val="24"/>
          <w:highlight w:val="yellow"/>
          <w:lang w:val="en-US" w:eastAsia="zh-CN" w:bidi="ar-SA"/>
        </w:rPr>
        <w:t>液碱</w:t>
      </w:r>
      <w:r>
        <w:rPr>
          <w:rFonts w:hint="default" w:ascii="仿宋" w:hAnsi="仿宋" w:eastAsia="仿宋" w:cs="仿宋"/>
          <w:spacing w:val="-2"/>
          <w:kern w:val="2"/>
          <w:sz w:val="24"/>
          <w:szCs w:val="24"/>
          <w:highlight w:val="yellow"/>
          <w:lang w:val="en-US" w:eastAsia="zh-CN" w:bidi="ar-SA"/>
        </w:rPr>
        <w:t>的同时应随车向</w:t>
      </w:r>
      <w:r>
        <w:rPr>
          <w:rFonts w:hint="eastAsia" w:ascii="仿宋" w:hAnsi="仿宋" w:eastAsia="仿宋" w:cs="仿宋"/>
          <w:spacing w:val="-2"/>
          <w:kern w:val="2"/>
          <w:sz w:val="24"/>
          <w:szCs w:val="24"/>
          <w:highlight w:val="yellow"/>
          <w:lang w:val="en-US" w:eastAsia="zh-CN" w:bidi="ar-SA"/>
        </w:rPr>
        <w:t>甲方指定收货人</w:t>
      </w:r>
      <w:r>
        <w:rPr>
          <w:rFonts w:hint="default" w:ascii="仿宋" w:hAnsi="仿宋" w:eastAsia="仿宋" w:cs="仿宋"/>
          <w:spacing w:val="-2"/>
          <w:kern w:val="2"/>
          <w:sz w:val="24"/>
          <w:szCs w:val="24"/>
          <w:highlight w:val="yellow"/>
          <w:lang w:val="en-US" w:eastAsia="zh-CN" w:bidi="ar-SA"/>
        </w:rPr>
        <w:t>指定的收货人提供</w:t>
      </w:r>
      <w:r>
        <w:rPr>
          <w:rFonts w:hint="eastAsia" w:ascii="仿宋" w:hAnsi="仿宋" w:eastAsia="仿宋" w:cs="仿宋"/>
          <w:spacing w:val="-2"/>
          <w:kern w:val="2"/>
          <w:sz w:val="24"/>
          <w:szCs w:val="24"/>
          <w:highlight w:val="yellow"/>
          <w:lang w:val="en-US" w:eastAsia="zh-CN" w:bidi="ar-SA"/>
        </w:rPr>
        <w:t>液碱</w:t>
      </w:r>
      <w:r>
        <w:rPr>
          <w:rFonts w:hint="default" w:ascii="仿宋" w:hAnsi="仿宋" w:eastAsia="仿宋" w:cs="仿宋"/>
          <w:spacing w:val="-2"/>
          <w:kern w:val="2"/>
          <w:sz w:val="24"/>
          <w:szCs w:val="24"/>
          <w:highlight w:val="yellow"/>
          <w:lang w:val="en-US" w:eastAsia="zh-CN" w:bidi="ar-SA"/>
        </w:rPr>
        <w:t>质量证明书、计量证明书等相关单据。</w:t>
      </w:r>
    </w:p>
    <w:p w14:paraId="07C9CCFD">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spacing w:val="-2"/>
          <w:kern w:val="2"/>
          <w:sz w:val="24"/>
          <w:szCs w:val="24"/>
          <w:highlight w:val="yellow"/>
          <w:lang w:val="en-US" w:eastAsia="zh-CN" w:bidi="ar-SA"/>
        </w:rPr>
      </w:pPr>
      <w:r>
        <w:rPr>
          <w:rFonts w:hint="eastAsia" w:ascii="仿宋" w:hAnsi="仿宋" w:eastAsia="仿宋" w:cs="仿宋"/>
          <w:spacing w:val="-2"/>
          <w:kern w:val="2"/>
          <w:sz w:val="24"/>
          <w:szCs w:val="24"/>
          <w:highlight w:val="yellow"/>
          <w:lang w:val="en-US" w:eastAsia="zh-CN" w:bidi="ar-SA"/>
        </w:rPr>
        <w:t>4</w:t>
      </w:r>
      <w:r>
        <w:rPr>
          <w:rFonts w:hint="default" w:ascii="仿宋" w:hAnsi="仿宋" w:eastAsia="仿宋" w:cs="仿宋"/>
          <w:spacing w:val="-2"/>
          <w:kern w:val="2"/>
          <w:sz w:val="24"/>
          <w:szCs w:val="24"/>
          <w:highlight w:val="yellow"/>
          <w:lang w:val="en-US" w:eastAsia="zh-CN" w:bidi="ar-SA"/>
        </w:rPr>
        <w:t>.</w:t>
      </w:r>
      <w:r>
        <w:rPr>
          <w:rFonts w:hint="eastAsia" w:ascii="仿宋" w:hAnsi="仿宋" w:eastAsia="仿宋" w:cs="仿宋"/>
          <w:spacing w:val="-2"/>
          <w:kern w:val="2"/>
          <w:sz w:val="24"/>
          <w:szCs w:val="24"/>
          <w:highlight w:val="yellow"/>
          <w:lang w:val="en-US" w:eastAsia="zh-CN" w:bidi="ar-SA"/>
        </w:rPr>
        <w:t>3</w:t>
      </w:r>
      <w:r>
        <w:rPr>
          <w:rFonts w:hint="default" w:ascii="仿宋" w:hAnsi="仿宋" w:eastAsia="仿宋" w:cs="仿宋"/>
          <w:spacing w:val="-2"/>
          <w:kern w:val="2"/>
          <w:sz w:val="24"/>
          <w:szCs w:val="24"/>
          <w:highlight w:val="yellow"/>
          <w:lang w:val="en-US" w:eastAsia="zh-CN" w:bidi="ar-SA"/>
        </w:rPr>
        <w:t>验收合理损耗及结算方法：</w:t>
      </w:r>
    </w:p>
    <w:p w14:paraId="5F8FA9EF">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default" w:ascii="仿宋" w:hAnsi="仿宋" w:eastAsia="仿宋" w:cs="仿宋"/>
          <w:b/>
          <w:bCs/>
          <w:spacing w:val="-11"/>
          <w:kern w:val="2"/>
          <w:sz w:val="24"/>
          <w:szCs w:val="24"/>
          <w:highlight w:val="yellow"/>
          <w:lang w:val="en-US" w:eastAsia="zh-CN" w:bidi="ar-SA"/>
        </w:rPr>
      </w:pPr>
      <w:r>
        <w:rPr>
          <w:rFonts w:hint="default" w:ascii="仿宋" w:hAnsi="仿宋" w:eastAsia="仿宋" w:cs="仿宋"/>
          <w:spacing w:val="-2"/>
          <w:kern w:val="2"/>
          <w:sz w:val="24"/>
          <w:szCs w:val="24"/>
          <w:highlight w:val="yellow"/>
          <w:lang w:val="en-US" w:eastAsia="zh-CN" w:bidi="ar-SA"/>
        </w:rPr>
        <w:t>以</w:t>
      </w:r>
      <w:r>
        <w:rPr>
          <w:rFonts w:hint="eastAsia" w:ascii="仿宋" w:hAnsi="仿宋" w:eastAsia="仿宋" w:cs="仿宋"/>
          <w:spacing w:val="-2"/>
          <w:kern w:val="2"/>
          <w:sz w:val="24"/>
          <w:szCs w:val="24"/>
          <w:highlight w:val="yellow"/>
          <w:lang w:val="en-US" w:eastAsia="zh-CN" w:bidi="ar-SA"/>
        </w:rPr>
        <w:t>甲方指定收货人</w:t>
      </w:r>
      <w:r>
        <w:rPr>
          <w:rFonts w:hint="default" w:ascii="仿宋" w:hAnsi="仿宋" w:eastAsia="仿宋" w:cs="仿宋"/>
          <w:spacing w:val="-2"/>
          <w:kern w:val="2"/>
          <w:sz w:val="24"/>
          <w:szCs w:val="24"/>
          <w:highlight w:val="yellow"/>
          <w:lang w:val="en-US" w:eastAsia="zh-CN" w:bidi="ar-SA"/>
        </w:rPr>
        <w:t>指定的收货人进厂检斤计量数量和实际分析化验浓度（NaOH百分含量）进行折百计算的结果为准。</w:t>
      </w:r>
    </w:p>
    <w:p w14:paraId="6F070BD9">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 xml:space="preserve">4.4结算方式：乙方提供配送签收单及详细运输清单，由甲方进行确认，乙方开具可抵扣增值税专用发票（税率 6%）给甲方，甲方收到发票后三十个日历日内支付现汇或期限为6个月以内（含6个月）的银行承兑汇票。 </w:t>
      </w:r>
    </w:p>
    <w:p w14:paraId="145701B8">
      <w:pPr>
        <w:keepNext w:val="0"/>
        <w:keepLines w:val="0"/>
        <w:pageBreakBefore w:val="0"/>
        <w:widowControl w:val="0"/>
        <w:tabs>
          <w:tab w:val="left" w:pos="739"/>
        </w:tabs>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2"/>
          <w:kern w:val="2"/>
          <w:sz w:val="24"/>
          <w:szCs w:val="24"/>
          <w:lang w:val="en-US" w:eastAsia="zh-CN" w:bidi="ar-SA"/>
        </w:rPr>
      </w:pPr>
      <w:r>
        <w:rPr>
          <w:rFonts w:hint="eastAsia" w:ascii="仿宋" w:hAnsi="仿宋" w:eastAsia="仿宋" w:cs="仿宋"/>
          <w:spacing w:val="-2"/>
          <w:kern w:val="2"/>
          <w:sz w:val="24"/>
          <w:szCs w:val="24"/>
          <w:lang w:val="en-US" w:eastAsia="zh-CN" w:bidi="ar-SA"/>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4BD45">
    <w:pPr>
      <w:spacing w:line="174" w:lineRule="auto"/>
      <w:ind w:left="8278"/>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CF0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73C9D"/>
    <w:multiLevelType w:val="singleLevel"/>
    <w:tmpl w:val="15573C9D"/>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zYWI0MTk3NDQxNDUyNTVlZjAxNTVlZDU4YjM3YTUifQ=="/>
  </w:docVars>
  <w:rsids>
    <w:rsidRoot w:val="4C2D030A"/>
    <w:rsid w:val="05312C08"/>
    <w:rsid w:val="067B1C86"/>
    <w:rsid w:val="08154310"/>
    <w:rsid w:val="08A97BF3"/>
    <w:rsid w:val="097B0453"/>
    <w:rsid w:val="09C90306"/>
    <w:rsid w:val="0C145C5B"/>
    <w:rsid w:val="0D49327A"/>
    <w:rsid w:val="130378C2"/>
    <w:rsid w:val="13C96385"/>
    <w:rsid w:val="15770A24"/>
    <w:rsid w:val="15AD5BBD"/>
    <w:rsid w:val="17026082"/>
    <w:rsid w:val="190B0C48"/>
    <w:rsid w:val="1A031D3C"/>
    <w:rsid w:val="1A037B71"/>
    <w:rsid w:val="1C4701E9"/>
    <w:rsid w:val="1DB96EC4"/>
    <w:rsid w:val="1FEF29E8"/>
    <w:rsid w:val="25A139B8"/>
    <w:rsid w:val="2B435BC2"/>
    <w:rsid w:val="2B87601F"/>
    <w:rsid w:val="2BEF74F5"/>
    <w:rsid w:val="2BFF6ACE"/>
    <w:rsid w:val="2C0D753E"/>
    <w:rsid w:val="2CF9552F"/>
    <w:rsid w:val="2DC26D0C"/>
    <w:rsid w:val="2E3F2D2F"/>
    <w:rsid w:val="2F2A2D4D"/>
    <w:rsid w:val="336B656A"/>
    <w:rsid w:val="343F2D9E"/>
    <w:rsid w:val="34706788"/>
    <w:rsid w:val="39A17AA5"/>
    <w:rsid w:val="3C2123AD"/>
    <w:rsid w:val="3C9439CC"/>
    <w:rsid w:val="3F8E3230"/>
    <w:rsid w:val="4003080B"/>
    <w:rsid w:val="40183BC1"/>
    <w:rsid w:val="44404B2E"/>
    <w:rsid w:val="45B933A3"/>
    <w:rsid w:val="45BC3AF3"/>
    <w:rsid w:val="45D25752"/>
    <w:rsid w:val="482521C9"/>
    <w:rsid w:val="4A932297"/>
    <w:rsid w:val="4B235B32"/>
    <w:rsid w:val="4C2D030A"/>
    <w:rsid w:val="4F1F16A5"/>
    <w:rsid w:val="4FEE03A0"/>
    <w:rsid w:val="4FF87CAF"/>
    <w:rsid w:val="549D0001"/>
    <w:rsid w:val="55BD2CEE"/>
    <w:rsid w:val="57136496"/>
    <w:rsid w:val="579F7E82"/>
    <w:rsid w:val="5A6F7CE5"/>
    <w:rsid w:val="5ACB1AAF"/>
    <w:rsid w:val="5BDB5443"/>
    <w:rsid w:val="5F4E1F86"/>
    <w:rsid w:val="64446389"/>
    <w:rsid w:val="644E2D4B"/>
    <w:rsid w:val="66643EA4"/>
    <w:rsid w:val="67DE1FE6"/>
    <w:rsid w:val="68A37B22"/>
    <w:rsid w:val="690F17BF"/>
    <w:rsid w:val="69191023"/>
    <w:rsid w:val="6ACD172F"/>
    <w:rsid w:val="6B86130F"/>
    <w:rsid w:val="6D763A57"/>
    <w:rsid w:val="6DA2127C"/>
    <w:rsid w:val="70231548"/>
    <w:rsid w:val="71F46A46"/>
    <w:rsid w:val="788640D3"/>
    <w:rsid w:val="78B65147"/>
    <w:rsid w:val="7A7C52C9"/>
    <w:rsid w:val="7BDF5D7C"/>
    <w:rsid w:val="7EA07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paragraph" w:styleId="5">
    <w:name w:val="List Paragraph"/>
    <w:basedOn w:val="1"/>
    <w:qFormat/>
    <w:uiPriority w:val="99"/>
    <w:pPr>
      <w:widowControl/>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2856</Words>
  <Characters>2964</Characters>
  <Lines>0</Lines>
  <Paragraphs>0</Paragraphs>
  <TotalTime>12</TotalTime>
  <ScaleCrop>false</ScaleCrop>
  <LinksUpToDate>false</LinksUpToDate>
  <CharactersWithSpaces>2975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2024-09-19T02:58:00Z</dcterms:created>
  <dc:creator>武悼╬风影</dc:creator>
  <cp:lastModifiedBy>P.saw</cp:lastModifiedBy>
  <dcterms:modified xsi:type="dcterms:W3CDTF">2025-08-15T06:41:38Z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06D473220C2141BDBB3C48D9E5835E30_13</vt:lpwstr>
  </property>
  <property fmtid="{D5CDD505-2E9C-101B-9397-08002B2CF9AE}" pid="4" name="KSOTemplateDocerSaveRecord">
    <vt:lpwstr>eyJoZGlkIjoiNjMxODVkMWQxZTZjNTJiYTZiMTU2NWFhMDQyMjhmZWYiLCJ1c2VySWQiOiI3MDc5NTI1MzcifQ==</vt:lpwstr>
  </property>
</Properties>
</file>